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6A954" w14:textId="2529C79D" w:rsidR="009E1794" w:rsidRDefault="009E1794">
      <w:pPr>
        <w:pStyle w:val="BodyText"/>
        <w:rPr>
          <w:rFonts w:ascii="Times New Roman"/>
          <w:sz w:val="64"/>
        </w:rPr>
      </w:pPr>
    </w:p>
    <w:p w14:paraId="14FAF1D5" w14:textId="77777777" w:rsidR="009E1794" w:rsidRDefault="009E1794">
      <w:pPr>
        <w:pStyle w:val="BodyText"/>
        <w:rPr>
          <w:rFonts w:ascii="Times New Roman"/>
          <w:sz w:val="64"/>
        </w:rPr>
      </w:pPr>
    </w:p>
    <w:p w14:paraId="7A1C24A9" w14:textId="77777777" w:rsidR="009E1794" w:rsidRDefault="009E1794">
      <w:pPr>
        <w:pStyle w:val="BodyText"/>
        <w:rPr>
          <w:rFonts w:ascii="Times New Roman"/>
          <w:sz w:val="64"/>
        </w:rPr>
      </w:pPr>
    </w:p>
    <w:p w14:paraId="2750F579" w14:textId="77777777" w:rsidR="009E1794" w:rsidRDefault="009E1794">
      <w:pPr>
        <w:pStyle w:val="BodyText"/>
        <w:rPr>
          <w:rFonts w:ascii="Times New Roman"/>
          <w:sz w:val="64"/>
        </w:rPr>
      </w:pPr>
    </w:p>
    <w:p w14:paraId="67E5DB27" w14:textId="77777777" w:rsidR="009E1794" w:rsidRDefault="009E1794">
      <w:pPr>
        <w:pStyle w:val="BodyText"/>
        <w:spacing w:before="191"/>
        <w:rPr>
          <w:rFonts w:ascii="Times New Roman"/>
          <w:sz w:val="64"/>
        </w:rPr>
      </w:pPr>
    </w:p>
    <w:p w14:paraId="179D29A4" w14:textId="77777777" w:rsidR="009E318C" w:rsidRDefault="009E318C" w:rsidP="009E318C">
      <w:pPr>
        <w:pStyle w:val="Title"/>
        <w:jc w:val="right"/>
        <w:rPr>
          <w:color w:val="2E4F87"/>
        </w:rPr>
      </w:pPr>
      <w:r>
        <w:rPr>
          <w:color w:val="2E4F87"/>
        </w:rPr>
        <w:t xml:space="preserve">(Area) </w:t>
      </w:r>
    </w:p>
    <w:p w14:paraId="7A64AD2B" w14:textId="77777777" w:rsidR="00C07450" w:rsidRDefault="00C07450" w:rsidP="007C6E3E">
      <w:pPr>
        <w:pStyle w:val="Title"/>
        <w:ind w:left="1418" w:firstLine="0"/>
        <w:jc w:val="right"/>
        <w:rPr>
          <w:color w:val="2E4F87"/>
        </w:rPr>
      </w:pPr>
      <w:r>
        <w:rPr>
          <w:color w:val="2E4F87"/>
        </w:rPr>
        <w:t xml:space="preserve">MHO-directed </w:t>
      </w:r>
    </w:p>
    <w:p w14:paraId="781549D8" w14:textId="3E4A36BD" w:rsidR="009E1794" w:rsidRDefault="00C07450" w:rsidP="007C6E3E">
      <w:pPr>
        <w:pStyle w:val="Title"/>
        <w:ind w:left="1418" w:firstLine="0"/>
        <w:jc w:val="right"/>
      </w:pPr>
      <w:r>
        <w:rPr>
          <w:color w:val="2E4F87"/>
        </w:rPr>
        <w:t>M</w:t>
      </w:r>
      <w:r w:rsidR="009E318C">
        <w:rPr>
          <w:color w:val="2E4F87"/>
        </w:rPr>
        <w:t>easles Specimen Collection Sites</w:t>
      </w:r>
    </w:p>
    <w:p w14:paraId="63BEEC23" w14:textId="77777777" w:rsidR="009E1794" w:rsidRDefault="004529CC" w:rsidP="007C6E3E">
      <w:pPr>
        <w:spacing w:before="1"/>
        <w:ind w:left="4829"/>
        <w:jc w:val="right"/>
        <w:rPr>
          <w:rFonts w:ascii="Verdana"/>
          <w:sz w:val="36"/>
        </w:rPr>
      </w:pPr>
      <w:r>
        <w:rPr>
          <w:rFonts w:ascii="Verdana"/>
          <w:color w:val="404040"/>
          <w:sz w:val="36"/>
        </w:rPr>
        <w:t>Suspect/Confirmed</w:t>
      </w:r>
      <w:r>
        <w:rPr>
          <w:rFonts w:ascii="Verdana"/>
          <w:color w:val="404040"/>
          <w:spacing w:val="-13"/>
          <w:sz w:val="36"/>
        </w:rPr>
        <w:t xml:space="preserve"> </w:t>
      </w:r>
      <w:r>
        <w:rPr>
          <w:rFonts w:ascii="Verdana"/>
          <w:color w:val="404040"/>
          <w:spacing w:val="-2"/>
          <w:sz w:val="36"/>
        </w:rPr>
        <w:t>Measles</w:t>
      </w:r>
    </w:p>
    <w:p w14:paraId="7B340890" w14:textId="3C11EC89" w:rsidR="009E1794" w:rsidRDefault="009E318C">
      <w:pPr>
        <w:pStyle w:val="BodyText"/>
        <w:spacing w:line="258" w:lineRule="exact"/>
        <w:ind w:right="490"/>
        <w:jc w:val="right"/>
      </w:pPr>
      <w:r>
        <w:rPr>
          <w:color w:val="2E4F87"/>
        </w:rPr>
        <w:t xml:space="preserve"> </w:t>
      </w:r>
    </w:p>
    <w:p w14:paraId="163974E0" w14:textId="77777777" w:rsidR="009E1794" w:rsidRDefault="009E1794">
      <w:pPr>
        <w:pStyle w:val="BodyText"/>
        <w:rPr>
          <w:sz w:val="13"/>
        </w:rPr>
      </w:pPr>
    </w:p>
    <w:p w14:paraId="354572E4" w14:textId="77777777" w:rsidR="009E1794" w:rsidRDefault="009E1794">
      <w:pPr>
        <w:pStyle w:val="BodyText"/>
        <w:rPr>
          <w:sz w:val="13"/>
        </w:rPr>
      </w:pPr>
    </w:p>
    <w:p w14:paraId="4455738A" w14:textId="77777777" w:rsidR="009E1794" w:rsidRDefault="009E1794">
      <w:pPr>
        <w:pStyle w:val="BodyText"/>
        <w:rPr>
          <w:sz w:val="13"/>
        </w:rPr>
      </w:pPr>
    </w:p>
    <w:p w14:paraId="1D3E3F64" w14:textId="77777777" w:rsidR="009E1794" w:rsidRDefault="009E1794">
      <w:pPr>
        <w:pStyle w:val="BodyText"/>
        <w:rPr>
          <w:sz w:val="13"/>
        </w:rPr>
      </w:pPr>
    </w:p>
    <w:p w14:paraId="78129307" w14:textId="77777777" w:rsidR="009E1794" w:rsidRDefault="009E1794">
      <w:pPr>
        <w:pStyle w:val="BodyText"/>
        <w:rPr>
          <w:sz w:val="13"/>
        </w:rPr>
      </w:pPr>
    </w:p>
    <w:p w14:paraId="7B9F5A1E" w14:textId="77777777" w:rsidR="009E1794" w:rsidRDefault="009E1794">
      <w:pPr>
        <w:pStyle w:val="BodyText"/>
        <w:rPr>
          <w:sz w:val="13"/>
        </w:rPr>
      </w:pPr>
    </w:p>
    <w:p w14:paraId="2B51245D" w14:textId="77777777" w:rsidR="009E1794" w:rsidRDefault="009E1794">
      <w:pPr>
        <w:pStyle w:val="BodyText"/>
        <w:rPr>
          <w:sz w:val="13"/>
        </w:rPr>
      </w:pPr>
    </w:p>
    <w:p w14:paraId="62ECDA2D" w14:textId="77777777" w:rsidR="009E1794" w:rsidRDefault="009E1794">
      <w:pPr>
        <w:pStyle w:val="BodyText"/>
        <w:rPr>
          <w:sz w:val="13"/>
        </w:rPr>
      </w:pPr>
    </w:p>
    <w:p w14:paraId="337ADABF" w14:textId="77777777" w:rsidR="009E1794" w:rsidRDefault="009E1794">
      <w:pPr>
        <w:pStyle w:val="BodyText"/>
        <w:rPr>
          <w:sz w:val="13"/>
        </w:rPr>
      </w:pPr>
    </w:p>
    <w:p w14:paraId="0B26A888" w14:textId="77777777" w:rsidR="009E1794" w:rsidRDefault="009E1794">
      <w:pPr>
        <w:pStyle w:val="BodyText"/>
        <w:rPr>
          <w:sz w:val="13"/>
        </w:rPr>
      </w:pPr>
    </w:p>
    <w:p w14:paraId="651C2665" w14:textId="77777777" w:rsidR="009E1794" w:rsidRDefault="009E1794">
      <w:pPr>
        <w:pStyle w:val="BodyText"/>
        <w:rPr>
          <w:sz w:val="13"/>
        </w:rPr>
      </w:pPr>
    </w:p>
    <w:p w14:paraId="03F9EB5A" w14:textId="77777777" w:rsidR="009E1794" w:rsidRDefault="009E1794">
      <w:pPr>
        <w:pStyle w:val="BodyText"/>
        <w:rPr>
          <w:sz w:val="13"/>
        </w:rPr>
      </w:pPr>
    </w:p>
    <w:p w14:paraId="25C69C6F" w14:textId="77777777" w:rsidR="009E1794" w:rsidRDefault="009E1794">
      <w:pPr>
        <w:pStyle w:val="BodyText"/>
        <w:rPr>
          <w:sz w:val="13"/>
        </w:rPr>
      </w:pPr>
    </w:p>
    <w:p w14:paraId="4F6C25C4" w14:textId="77777777" w:rsidR="009E1794" w:rsidRDefault="009E1794">
      <w:pPr>
        <w:pStyle w:val="BodyText"/>
        <w:rPr>
          <w:sz w:val="13"/>
        </w:rPr>
      </w:pPr>
    </w:p>
    <w:p w14:paraId="02F1A912" w14:textId="77777777" w:rsidR="009E1794" w:rsidRDefault="009E1794">
      <w:pPr>
        <w:pStyle w:val="BodyText"/>
        <w:rPr>
          <w:sz w:val="13"/>
        </w:rPr>
      </w:pPr>
    </w:p>
    <w:p w14:paraId="0BEFDB5A" w14:textId="77777777" w:rsidR="009E1794" w:rsidRDefault="009E1794">
      <w:pPr>
        <w:pStyle w:val="BodyText"/>
        <w:rPr>
          <w:sz w:val="13"/>
        </w:rPr>
      </w:pPr>
    </w:p>
    <w:p w14:paraId="0BBECDF0" w14:textId="77777777" w:rsidR="009E1794" w:rsidRDefault="009E1794">
      <w:pPr>
        <w:pStyle w:val="BodyText"/>
        <w:rPr>
          <w:sz w:val="13"/>
        </w:rPr>
      </w:pPr>
    </w:p>
    <w:p w14:paraId="31EF2A2C" w14:textId="77777777" w:rsidR="009E1794" w:rsidRDefault="009E1794">
      <w:pPr>
        <w:pStyle w:val="BodyText"/>
        <w:rPr>
          <w:sz w:val="13"/>
        </w:rPr>
      </w:pPr>
    </w:p>
    <w:p w14:paraId="3F31BB32" w14:textId="77777777" w:rsidR="009E1794" w:rsidRDefault="009E1794">
      <w:pPr>
        <w:pStyle w:val="BodyText"/>
        <w:rPr>
          <w:sz w:val="13"/>
        </w:rPr>
      </w:pPr>
    </w:p>
    <w:p w14:paraId="71E73E9C" w14:textId="77777777" w:rsidR="009E1794" w:rsidRDefault="009E1794">
      <w:pPr>
        <w:pStyle w:val="BodyText"/>
        <w:rPr>
          <w:sz w:val="13"/>
        </w:rPr>
      </w:pPr>
    </w:p>
    <w:p w14:paraId="4F59D185" w14:textId="77777777" w:rsidR="009E1794" w:rsidRDefault="009E1794">
      <w:pPr>
        <w:pStyle w:val="BodyText"/>
        <w:rPr>
          <w:sz w:val="13"/>
        </w:rPr>
      </w:pPr>
    </w:p>
    <w:p w14:paraId="43C7B60E" w14:textId="77777777" w:rsidR="009E1794" w:rsidRDefault="009E1794">
      <w:pPr>
        <w:pStyle w:val="BodyText"/>
        <w:rPr>
          <w:sz w:val="13"/>
        </w:rPr>
      </w:pPr>
    </w:p>
    <w:p w14:paraId="5FA00FA6" w14:textId="77777777" w:rsidR="009E1794" w:rsidRDefault="009E1794">
      <w:pPr>
        <w:pStyle w:val="BodyText"/>
        <w:rPr>
          <w:sz w:val="13"/>
        </w:rPr>
      </w:pPr>
    </w:p>
    <w:p w14:paraId="1A8547F8" w14:textId="77777777" w:rsidR="009E1794" w:rsidRDefault="009E1794">
      <w:pPr>
        <w:pStyle w:val="BodyText"/>
        <w:rPr>
          <w:sz w:val="13"/>
        </w:rPr>
      </w:pPr>
    </w:p>
    <w:p w14:paraId="7D56CE00" w14:textId="77777777" w:rsidR="007C6E3E" w:rsidRDefault="007C6E3E">
      <w:pPr>
        <w:pStyle w:val="BodyText"/>
        <w:rPr>
          <w:sz w:val="13"/>
        </w:rPr>
      </w:pPr>
    </w:p>
    <w:p w14:paraId="0E4A97CC" w14:textId="77777777" w:rsidR="007C6E3E" w:rsidRDefault="007C6E3E">
      <w:pPr>
        <w:pStyle w:val="BodyText"/>
        <w:rPr>
          <w:sz w:val="13"/>
        </w:rPr>
      </w:pPr>
    </w:p>
    <w:p w14:paraId="580858F7" w14:textId="77777777" w:rsidR="007C6E3E" w:rsidRDefault="007C6E3E">
      <w:pPr>
        <w:pStyle w:val="BodyText"/>
        <w:rPr>
          <w:sz w:val="13"/>
        </w:rPr>
      </w:pPr>
    </w:p>
    <w:p w14:paraId="56280A74" w14:textId="77777777" w:rsidR="007C6E3E" w:rsidRDefault="007C6E3E">
      <w:pPr>
        <w:pStyle w:val="BodyText"/>
        <w:rPr>
          <w:sz w:val="13"/>
        </w:rPr>
      </w:pPr>
    </w:p>
    <w:p w14:paraId="0626C7D2" w14:textId="77777777" w:rsidR="009E1794" w:rsidRDefault="009E1794">
      <w:pPr>
        <w:pStyle w:val="BodyText"/>
        <w:rPr>
          <w:sz w:val="13"/>
        </w:rPr>
      </w:pPr>
    </w:p>
    <w:p w14:paraId="413BC7FE" w14:textId="77777777" w:rsidR="004529CC" w:rsidRDefault="004529CC">
      <w:pPr>
        <w:pStyle w:val="BodyText"/>
        <w:spacing w:before="240"/>
        <w:rPr>
          <w:rFonts w:ascii="Verdana"/>
        </w:rPr>
        <w:sectPr w:rsidR="004529CC" w:rsidSect="00B0562B">
          <w:headerReference w:type="default" r:id="rId7"/>
          <w:footerReference w:type="default" r:id="rId8"/>
          <w:pgSz w:w="12240" w:h="15840"/>
          <w:pgMar w:top="2020" w:right="960" w:bottom="840" w:left="960" w:header="708" w:footer="567" w:gutter="0"/>
          <w:pgNumType w:start="1"/>
          <w:cols w:space="720"/>
          <w:docGrid w:linePitch="299"/>
        </w:sectPr>
      </w:pPr>
    </w:p>
    <w:tbl>
      <w:tblPr>
        <w:tblpPr w:leftFromText="180" w:rightFromText="180" w:vertAnchor="text" w:tblpY="287"/>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394"/>
        <w:gridCol w:w="4220"/>
      </w:tblGrid>
      <w:tr w:rsidR="00C07450" w14:paraId="7DED144E" w14:textId="77777777" w:rsidTr="00C07450">
        <w:trPr>
          <w:trHeight w:val="579"/>
        </w:trPr>
        <w:tc>
          <w:tcPr>
            <w:tcW w:w="9614" w:type="dxa"/>
            <w:gridSpan w:val="2"/>
          </w:tcPr>
          <w:p w14:paraId="6522AA53" w14:textId="77777777" w:rsidR="00C07450" w:rsidRDefault="00C07450" w:rsidP="00C07450">
            <w:pPr>
              <w:pStyle w:val="TableParagraph"/>
              <w:spacing w:line="213" w:lineRule="auto"/>
              <w:ind w:right="270"/>
            </w:pPr>
            <w:r>
              <w:lastRenderedPageBreak/>
              <w:t>A</w:t>
            </w:r>
            <w:r>
              <w:rPr>
                <w:spacing w:val="-2"/>
              </w:rPr>
              <w:t xml:space="preserve"> </w:t>
            </w:r>
            <w:r>
              <w:rPr>
                <w:b/>
                <w:i/>
              </w:rPr>
              <w:t>PRINTED</w:t>
            </w:r>
            <w:r>
              <w:rPr>
                <w:b/>
                <w:i/>
                <w:spacing w:val="-7"/>
              </w:rPr>
              <w:t xml:space="preserve"> </w:t>
            </w:r>
            <w:r>
              <w:t>copy</w:t>
            </w:r>
            <w:r>
              <w:rPr>
                <w:spacing w:val="-2"/>
              </w:rPr>
              <w:t xml:space="preserve"> </w:t>
            </w:r>
            <w:r>
              <w:t>of</w:t>
            </w:r>
            <w:r>
              <w:rPr>
                <w:spacing w:val="-3"/>
              </w:rPr>
              <w:t xml:space="preserve"> </w:t>
            </w:r>
            <w:r>
              <w:t>this</w:t>
            </w:r>
            <w:r>
              <w:rPr>
                <w:spacing w:val="-2"/>
              </w:rPr>
              <w:t xml:space="preserve"> </w:t>
            </w:r>
            <w:r>
              <w:t>Standard</w:t>
            </w:r>
            <w:r>
              <w:rPr>
                <w:spacing w:val="-3"/>
              </w:rPr>
              <w:t xml:space="preserve"> </w:t>
            </w:r>
            <w:r>
              <w:t>Operating</w:t>
            </w:r>
            <w:r>
              <w:rPr>
                <w:spacing w:val="-5"/>
              </w:rPr>
              <w:t xml:space="preserve"> </w:t>
            </w:r>
            <w:r>
              <w:t>Procedure</w:t>
            </w:r>
            <w:r>
              <w:rPr>
                <w:spacing w:val="-4"/>
              </w:rPr>
              <w:t xml:space="preserve"> </w:t>
            </w:r>
            <w:r>
              <w:t>may</w:t>
            </w:r>
            <w:r>
              <w:rPr>
                <w:spacing w:val="-2"/>
              </w:rPr>
              <w:t xml:space="preserve"> </w:t>
            </w:r>
            <w:r>
              <w:t>not</w:t>
            </w:r>
            <w:r>
              <w:rPr>
                <w:spacing w:val="-3"/>
              </w:rPr>
              <w:t xml:space="preserve"> </w:t>
            </w:r>
            <w:r>
              <w:t>be</w:t>
            </w:r>
            <w:r>
              <w:rPr>
                <w:spacing w:val="-1"/>
              </w:rPr>
              <w:t xml:space="preserve"> </w:t>
            </w:r>
            <w:r>
              <w:t>the</w:t>
            </w:r>
            <w:r>
              <w:rPr>
                <w:spacing w:val="-4"/>
              </w:rPr>
              <w:t xml:space="preserve"> </w:t>
            </w:r>
            <w:r>
              <w:t>most</w:t>
            </w:r>
            <w:r>
              <w:rPr>
                <w:spacing w:val="-3"/>
              </w:rPr>
              <w:t xml:space="preserve"> </w:t>
            </w:r>
            <w:r>
              <w:t xml:space="preserve">recent </w:t>
            </w:r>
            <w:r>
              <w:rPr>
                <w:spacing w:val="-2"/>
              </w:rPr>
              <w:t>version.</w:t>
            </w:r>
          </w:p>
        </w:tc>
      </w:tr>
      <w:tr w:rsidR="00C07450" w14:paraId="6FD7673D" w14:textId="77777777" w:rsidTr="00C07450">
        <w:trPr>
          <w:trHeight w:val="149"/>
        </w:trPr>
        <w:tc>
          <w:tcPr>
            <w:tcW w:w="9614" w:type="dxa"/>
            <w:gridSpan w:val="2"/>
            <w:tcBorders>
              <w:left w:val="nil"/>
              <w:right w:val="nil"/>
            </w:tcBorders>
          </w:tcPr>
          <w:p w14:paraId="0B30F298" w14:textId="77777777" w:rsidR="00C07450" w:rsidRPr="00AC2958" w:rsidRDefault="00C07450" w:rsidP="00C07450">
            <w:pPr>
              <w:pStyle w:val="TableParagraph"/>
              <w:ind w:left="0"/>
              <w:rPr>
                <w:rFonts w:ascii="Times New Roman"/>
                <w:sz w:val="16"/>
                <w:szCs w:val="18"/>
              </w:rPr>
            </w:pPr>
          </w:p>
        </w:tc>
      </w:tr>
      <w:tr w:rsidR="00C07450" w14:paraId="564D885A" w14:textId="77777777" w:rsidTr="00C07450">
        <w:trPr>
          <w:trHeight w:val="517"/>
        </w:trPr>
        <w:tc>
          <w:tcPr>
            <w:tcW w:w="5394" w:type="dxa"/>
            <w:vMerge w:val="restart"/>
            <w:tcBorders>
              <w:right w:val="nil"/>
            </w:tcBorders>
          </w:tcPr>
          <w:p w14:paraId="35A08DF1" w14:textId="77777777" w:rsidR="00C07450" w:rsidRDefault="00C07450" w:rsidP="00C07450">
            <w:pPr>
              <w:pStyle w:val="TableParagraph"/>
              <w:spacing w:before="66"/>
              <w:ind w:left="0"/>
              <w:rPr>
                <w:rFonts w:ascii="Verdana"/>
                <w:sz w:val="24"/>
              </w:rPr>
            </w:pPr>
          </w:p>
          <w:p w14:paraId="6B7216E9" w14:textId="77777777" w:rsidR="00C07450" w:rsidRDefault="00C07450" w:rsidP="00C07450">
            <w:pPr>
              <w:pStyle w:val="TableParagraph"/>
              <w:spacing w:line="211" w:lineRule="auto"/>
              <w:ind w:right="-42"/>
              <w:rPr>
                <w:b/>
                <w:sz w:val="24"/>
              </w:rPr>
            </w:pPr>
            <w:r>
              <w:rPr>
                <w:b/>
                <w:color w:val="DE5328"/>
                <w:sz w:val="24"/>
              </w:rPr>
              <w:t>STANDARD</w:t>
            </w:r>
            <w:r>
              <w:rPr>
                <w:b/>
                <w:color w:val="DE5328"/>
                <w:spacing w:val="-17"/>
                <w:sz w:val="24"/>
              </w:rPr>
              <w:t xml:space="preserve"> </w:t>
            </w:r>
            <w:r>
              <w:rPr>
                <w:b/>
                <w:color w:val="DE5328"/>
                <w:sz w:val="24"/>
              </w:rPr>
              <w:t xml:space="preserve">OPERATING </w:t>
            </w:r>
            <w:r>
              <w:rPr>
                <w:b/>
                <w:color w:val="DE5328"/>
                <w:spacing w:val="-2"/>
                <w:sz w:val="24"/>
              </w:rPr>
              <w:t>PROCEDURE</w:t>
            </w:r>
          </w:p>
          <w:p w14:paraId="12E5E9F9" w14:textId="2111019D" w:rsidR="00C07450" w:rsidRDefault="00C07450" w:rsidP="00C07450">
            <w:pPr>
              <w:pStyle w:val="TableParagraph"/>
              <w:spacing w:before="91"/>
              <w:rPr>
                <w:sz w:val="24"/>
              </w:rPr>
            </w:pPr>
            <w:r>
              <w:rPr>
                <w:color w:val="001F5F"/>
                <w:sz w:val="24"/>
              </w:rPr>
              <w:t>(</w:t>
            </w:r>
            <w:r w:rsidRPr="00C07450">
              <w:rPr>
                <w:color w:val="001F5F"/>
                <w:sz w:val="24"/>
                <w:highlight w:val="yellow"/>
              </w:rPr>
              <w:t>Area</w:t>
            </w:r>
            <w:r>
              <w:rPr>
                <w:color w:val="001F5F"/>
                <w:sz w:val="24"/>
              </w:rPr>
              <w:t xml:space="preserve">) </w:t>
            </w:r>
            <w:r w:rsidR="00B0562B">
              <w:rPr>
                <w:color w:val="001F5F"/>
                <w:sz w:val="24"/>
              </w:rPr>
              <w:t>MHO-directed Measles Specimen Collection Sites</w:t>
            </w:r>
          </w:p>
        </w:tc>
        <w:tc>
          <w:tcPr>
            <w:tcW w:w="4220" w:type="dxa"/>
            <w:tcBorders>
              <w:left w:val="nil"/>
              <w:bottom w:val="nil"/>
            </w:tcBorders>
          </w:tcPr>
          <w:p w14:paraId="194DBCB7" w14:textId="77777777" w:rsidR="00C07450" w:rsidRDefault="00C07450" w:rsidP="00C07450">
            <w:pPr>
              <w:pStyle w:val="TableParagraph"/>
              <w:spacing w:before="86"/>
              <w:ind w:left="290"/>
              <w:rPr>
                <w:sz w:val="24"/>
              </w:rPr>
            </w:pPr>
            <w:r>
              <w:rPr>
                <w:b/>
                <w:color w:val="DE5328"/>
                <w:sz w:val="24"/>
              </w:rPr>
              <w:t>DATE:</w:t>
            </w:r>
            <w:r>
              <w:rPr>
                <w:b/>
                <w:color w:val="DE5328"/>
                <w:spacing w:val="-1"/>
                <w:sz w:val="24"/>
              </w:rPr>
              <w:t xml:space="preserve"> </w:t>
            </w:r>
            <w:r>
              <w:rPr>
                <w:color w:val="001F5F"/>
                <w:sz w:val="24"/>
              </w:rPr>
              <w:t>July 14,</w:t>
            </w:r>
            <w:r>
              <w:rPr>
                <w:color w:val="001F5F"/>
                <w:spacing w:val="-1"/>
                <w:sz w:val="24"/>
              </w:rPr>
              <w:t xml:space="preserve"> </w:t>
            </w:r>
            <w:r>
              <w:rPr>
                <w:color w:val="001F5F"/>
                <w:spacing w:val="-4"/>
                <w:sz w:val="24"/>
              </w:rPr>
              <w:t>2025</w:t>
            </w:r>
          </w:p>
        </w:tc>
      </w:tr>
      <w:tr w:rsidR="00C07450" w14:paraId="5AF17C3C" w14:textId="77777777" w:rsidTr="00C07450">
        <w:trPr>
          <w:trHeight w:val="502"/>
        </w:trPr>
        <w:tc>
          <w:tcPr>
            <w:tcW w:w="5394" w:type="dxa"/>
            <w:vMerge/>
            <w:tcBorders>
              <w:top w:val="nil"/>
              <w:right w:val="nil"/>
            </w:tcBorders>
          </w:tcPr>
          <w:p w14:paraId="7774D6A8" w14:textId="77777777" w:rsidR="00C07450" w:rsidRDefault="00C07450" w:rsidP="00C07450">
            <w:pPr>
              <w:rPr>
                <w:sz w:val="2"/>
                <w:szCs w:val="2"/>
              </w:rPr>
            </w:pPr>
          </w:p>
        </w:tc>
        <w:tc>
          <w:tcPr>
            <w:tcW w:w="4220" w:type="dxa"/>
            <w:tcBorders>
              <w:top w:val="nil"/>
              <w:left w:val="nil"/>
              <w:bottom w:val="nil"/>
            </w:tcBorders>
          </w:tcPr>
          <w:p w14:paraId="585BF5CC" w14:textId="75C19A42" w:rsidR="00C07450" w:rsidRDefault="00C07450" w:rsidP="00C07450">
            <w:pPr>
              <w:pStyle w:val="TableParagraph"/>
              <w:spacing w:before="71"/>
              <w:ind w:left="290"/>
              <w:rPr>
                <w:b/>
                <w:sz w:val="24"/>
              </w:rPr>
            </w:pPr>
            <w:r>
              <w:rPr>
                <w:b/>
                <w:color w:val="DE5328"/>
                <w:sz w:val="24"/>
              </w:rPr>
              <w:t>REVISED</w:t>
            </w:r>
            <w:r>
              <w:rPr>
                <w:b/>
                <w:color w:val="DE5328"/>
                <w:spacing w:val="-3"/>
                <w:sz w:val="24"/>
              </w:rPr>
              <w:t xml:space="preserve"> </w:t>
            </w:r>
            <w:r>
              <w:rPr>
                <w:b/>
                <w:color w:val="DE5328"/>
                <w:spacing w:val="-2"/>
                <w:sz w:val="24"/>
              </w:rPr>
              <w:t>DATE:</w:t>
            </w:r>
            <w:r w:rsidR="00B0562B">
              <w:rPr>
                <w:b/>
                <w:color w:val="DE5328"/>
                <w:spacing w:val="-2"/>
                <w:sz w:val="24"/>
              </w:rPr>
              <w:t xml:space="preserve"> </w:t>
            </w:r>
            <w:r w:rsidR="00B0562B" w:rsidRPr="00B0562B">
              <w:rPr>
                <w:color w:val="001F5F"/>
                <w:spacing w:val="-4"/>
                <w:sz w:val="24"/>
              </w:rPr>
              <w:t>August 7, 2025</w:t>
            </w:r>
          </w:p>
        </w:tc>
      </w:tr>
      <w:tr w:rsidR="00C07450" w14:paraId="0B1B1DCA" w14:textId="77777777" w:rsidTr="00C07450">
        <w:trPr>
          <w:trHeight w:val="517"/>
        </w:trPr>
        <w:tc>
          <w:tcPr>
            <w:tcW w:w="5394" w:type="dxa"/>
            <w:vMerge/>
            <w:tcBorders>
              <w:top w:val="nil"/>
              <w:right w:val="nil"/>
            </w:tcBorders>
          </w:tcPr>
          <w:p w14:paraId="7D37DD90" w14:textId="77777777" w:rsidR="00C07450" w:rsidRDefault="00C07450" w:rsidP="00C07450">
            <w:pPr>
              <w:rPr>
                <w:sz w:val="2"/>
                <w:szCs w:val="2"/>
              </w:rPr>
            </w:pPr>
          </w:p>
        </w:tc>
        <w:tc>
          <w:tcPr>
            <w:tcW w:w="4220" w:type="dxa"/>
            <w:tcBorders>
              <w:top w:val="nil"/>
              <w:left w:val="nil"/>
            </w:tcBorders>
          </w:tcPr>
          <w:p w14:paraId="633BE05C" w14:textId="77777777" w:rsidR="00C07450" w:rsidRDefault="00C07450" w:rsidP="00C07450">
            <w:pPr>
              <w:pStyle w:val="TableParagraph"/>
              <w:spacing w:before="71"/>
              <w:ind w:left="290"/>
              <w:rPr>
                <w:b/>
                <w:sz w:val="24"/>
              </w:rPr>
            </w:pPr>
            <w:r>
              <w:rPr>
                <w:b/>
                <w:color w:val="DE5328"/>
                <w:sz w:val="24"/>
              </w:rPr>
              <w:t>REVIEWED</w:t>
            </w:r>
            <w:r>
              <w:rPr>
                <w:b/>
                <w:color w:val="DE5328"/>
                <w:spacing w:val="-3"/>
                <w:sz w:val="24"/>
              </w:rPr>
              <w:t xml:space="preserve"> </w:t>
            </w:r>
            <w:r>
              <w:rPr>
                <w:b/>
                <w:color w:val="DE5328"/>
                <w:spacing w:val="-2"/>
                <w:sz w:val="24"/>
              </w:rPr>
              <w:t>DATE:</w:t>
            </w:r>
          </w:p>
        </w:tc>
      </w:tr>
    </w:tbl>
    <w:p w14:paraId="0AF57CD8" w14:textId="096451C2" w:rsidR="009E1794" w:rsidRPr="00974E31" w:rsidRDefault="009E1794">
      <w:pPr>
        <w:pStyle w:val="BodyText"/>
        <w:spacing w:before="240"/>
        <w:rPr>
          <w:rFonts w:ascii="Verdana"/>
          <w:sz w:val="16"/>
          <w:szCs w:val="16"/>
        </w:rPr>
      </w:pPr>
    </w:p>
    <w:p w14:paraId="27749C83" w14:textId="77777777" w:rsidR="009E1794" w:rsidRDefault="004529CC">
      <w:pPr>
        <w:pStyle w:val="Heading1"/>
      </w:pPr>
      <w:r>
        <w:rPr>
          <w:color w:val="DE5328"/>
          <w:spacing w:val="-2"/>
        </w:rPr>
        <w:t>Purpose</w:t>
      </w:r>
    </w:p>
    <w:p w14:paraId="095A73A3" w14:textId="01D677B6" w:rsidR="00AC2958" w:rsidRPr="00AC2958" w:rsidRDefault="004529CC" w:rsidP="00AC2958">
      <w:pPr>
        <w:pStyle w:val="BodyText"/>
        <w:spacing w:before="112" w:line="211" w:lineRule="auto"/>
        <w:ind w:left="120" w:right="116"/>
      </w:pPr>
      <w:r>
        <w:t>Measles is a highly infectious communicable disease, warranting careful consideration of patient movement</w:t>
      </w:r>
      <w:r>
        <w:rPr>
          <w:spacing w:val="-8"/>
        </w:rPr>
        <w:t xml:space="preserve"> </w:t>
      </w:r>
      <w:r>
        <w:t>and</w:t>
      </w:r>
      <w:r>
        <w:rPr>
          <w:spacing w:val="-10"/>
        </w:rPr>
        <w:t xml:space="preserve"> </w:t>
      </w:r>
      <w:r>
        <w:t>placement.</w:t>
      </w:r>
      <w:r>
        <w:rPr>
          <w:spacing w:val="-8"/>
        </w:rPr>
        <w:t xml:space="preserve"> </w:t>
      </w:r>
      <w:r w:rsidR="00AC2958" w:rsidRPr="00AC2958">
        <w:t xml:space="preserve">Clients are eligible for </w:t>
      </w:r>
      <w:r w:rsidR="00AC2958" w:rsidRPr="007D0B1E">
        <w:rPr>
          <w:i/>
          <w:iCs/>
        </w:rPr>
        <w:t>community specimen collection</w:t>
      </w:r>
      <w:r w:rsidR="00AC2958" w:rsidRPr="00AC2958">
        <w:t xml:space="preserve"> when assessed and recommended for testing by the C</w:t>
      </w:r>
      <w:r w:rsidR="00AC2958">
        <w:t xml:space="preserve">ommunicable </w:t>
      </w:r>
      <w:r w:rsidR="00AC2958" w:rsidRPr="00AC2958">
        <w:t>D</w:t>
      </w:r>
      <w:r w:rsidR="00AC2958">
        <w:t>iseases</w:t>
      </w:r>
      <w:r w:rsidR="00AC2958" w:rsidRPr="00AC2958">
        <w:t xml:space="preserve"> Unit </w:t>
      </w:r>
      <w:r w:rsidR="00AC2958">
        <w:t xml:space="preserve">(CDU) </w:t>
      </w:r>
      <w:r w:rsidR="00AC2958" w:rsidRPr="00AC2958">
        <w:t>or the Provincial Workplace Health Contact Centre (PWHCC). This applies to individuals who have been exposed to measles AND who are exhibiting symptoms consistent with measles as assessed by the CDU or PWHCC.</w:t>
      </w:r>
      <w:r w:rsidR="007D0B1E">
        <w:t xml:space="preserve"> Other specimen collection processes are used if patients present to health care services due to medical concerns in conjunction with measles signs and symptoms. </w:t>
      </w:r>
    </w:p>
    <w:p w14:paraId="3FA51C0A" w14:textId="4F10E10A" w:rsidR="009E1794" w:rsidRDefault="004529CC" w:rsidP="00AC2958">
      <w:pPr>
        <w:pStyle w:val="BodyText"/>
        <w:spacing w:before="112" w:line="211" w:lineRule="auto"/>
        <w:ind w:left="120" w:right="116"/>
      </w:pPr>
      <w:r>
        <w:t>This</w:t>
      </w:r>
      <w:r>
        <w:rPr>
          <w:spacing w:val="-8"/>
        </w:rPr>
        <w:t xml:space="preserve"> </w:t>
      </w:r>
      <w:r>
        <w:t>document</w:t>
      </w:r>
      <w:r>
        <w:rPr>
          <w:spacing w:val="-8"/>
        </w:rPr>
        <w:t xml:space="preserve"> </w:t>
      </w:r>
      <w:r>
        <w:t>has</w:t>
      </w:r>
      <w:r>
        <w:rPr>
          <w:spacing w:val="-6"/>
        </w:rPr>
        <w:t xml:space="preserve"> </w:t>
      </w:r>
      <w:r>
        <w:t>been</w:t>
      </w:r>
      <w:r>
        <w:rPr>
          <w:spacing w:val="-9"/>
        </w:rPr>
        <w:t xml:space="preserve"> </w:t>
      </w:r>
      <w:r>
        <w:t>developed</w:t>
      </w:r>
      <w:r>
        <w:rPr>
          <w:spacing w:val="-9"/>
        </w:rPr>
        <w:t xml:space="preserve"> </w:t>
      </w:r>
      <w:r>
        <w:t>to</w:t>
      </w:r>
      <w:r>
        <w:rPr>
          <w:spacing w:val="-9"/>
        </w:rPr>
        <w:t xml:space="preserve"> </w:t>
      </w:r>
      <w:r>
        <w:t>guide</w:t>
      </w:r>
      <w:r>
        <w:rPr>
          <w:spacing w:val="-9"/>
        </w:rPr>
        <w:t xml:space="preserve"> </w:t>
      </w:r>
      <w:r w:rsidR="00C07450">
        <w:rPr>
          <w:spacing w:val="-9"/>
        </w:rPr>
        <w:t>(</w:t>
      </w:r>
      <w:r w:rsidR="00AC2958" w:rsidRPr="00AC2958">
        <w:rPr>
          <w:spacing w:val="-9"/>
          <w:highlight w:val="yellow"/>
        </w:rPr>
        <w:t>area</w:t>
      </w:r>
      <w:r w:rsidR="00C07450">
        <w:rPr>
          <w:spacing w:val="-9"/>
        </w:rPr>
        <w:t>)</w:t>
      </w:r>
      <w:r w:rsidR="00AC2958">
        <w:rPr>
          <w:spacing w:val="-9"/>
        </w:rPr>
        <w:t xml:space="preserve"> </w:t>
      </w:r>
      <w:r w:rsidR="00AC2958">
        <w:t xml:space="preserve">Interior Health clinical operations staff in enacting the </w:t>
      </w:r>
      <w:hyperlink r:id="rId9" w:history="1">
        <w:r w:rsidR="00AC2958" w:rsidRPr="009875DB">
          <w:rPr>
            <w:rStyle w:val="Hyperlink"/>
          </w:rPr>
          <w:t>Measles Specimen Collection Approach</w:t>
        </w:r>
      </w:hyperlink>
      <w:r w:rsidR="00AC2958">
        <w:t xml:space="preserve"> in a standardized manner, once the Measles Response Coordination Committee </w:t>
      </w:r>
      <w:r w:rsidR="005E4767">
        <w:t xml:space="preserve">(MRCC) </w:t>
      </w:r>
      <w:r w:rsidR="00AC2958">
        <w:t>has determined collection is required and the collection level in the community</w:t>
      </w:r>
      <w:r w:rsidR="005E4767">
        <w:t xml:space="preserve"> (see Procedures, Section 3)</w:t>
      </w:r>
      <w:r w:rsidR="00AC2958">
        <w:t xml:space="preserve">. </w:t>
      </w:r>
      <w:r w:rsidR="005E4767">
        <w:t xml:space="preserve">Communication will be sent out from the MRCC to area leadership on that decision. </w:t>
      </w:r>
    </w:p>
    <w:p w14:paraId="53DFD8DC" w14:textId="77777777" w:rsidR="009E1794" w:rsidRDefault="004529CC" w:rsidP="00AF6CAD">
      <w:pPr>
        <w:pStyle w:val="Heading1"/>
        <w:spacing w:before="120"/>
      </w:pPr>
      <w:r>
        <w:rPr>
          <w:color w:val="DE5328"/>
          <w:spacing w:val="-2"/>
        </w:rPr>
        <w:t>Procedures</w:t>
      </w:r>
    </w:p>
    <w:p w14:paraId="4D8F51ED" w14:textId="769B7F88" w:rsidR="009E1794" w:rsidRDefault="00D70C41" w:rsidP="00AF6CAD">
      <w:pPr>
        <w:pStyle w:val="Heading2"/>
        <w:numPr>
          <w:ilvl w:val="0"/>
          <w:numId w:val="1"/>
        </w:numPr>
        <w:tabs>
          <w:tab w:val="left" w:pos="480"/>
        </w:tabs>
        <w:spacing w:before="120"/>
        <w:ind w:hanging="360"/>
        <w:rPr>
          <w:color w:val="2E4F87"/>
        </w:rPr>
      </w:pPr>
      <w:r>
        <w:rPr>
          <w:color w:val="2E4F87"/>
        </w:rPr>
        <w:t>Choosing Collection Site Location(s)</w:t>
      </w:r>
    </w:p>
    <w:p w14:paraId="0E46E16B" w14:textId="403E3F94" w:rsidR="009E1794" w:rsidRDefault="00D70C41">
      <w:pPr>
        <w:pStyle w:val="ListParagraph"/>
        <w:numPr>
          <w:ilvl w:val="1"/>
          <w:numId w:val="1"/>
        </w:numPr>
        <w:tabs>
          <w:tab w:val="left" w:pos="1109"/>
          <w:tab w:val="left" w:pos="1111"/>
        </w:tabs>
        <w:spacing w:before="111" w:line="213" w:lineRule="auto"/>
        <w:ind w:right="363"/>
        <w:rPr>
          <w:sz w:val="20"/>
        </w:rPr>
      </w:pPr>
      <w:r>
        <w:rPr>
          <w:sz w:val="20"/>
        </w:rPr>
        <w:t xml:space="preserve">Once the Measles Response Coordination Committee has identified that there will be a need for community specimen collection locations, the (area) Executive Director will direct that preparations begin. </w:t>
      </w:r>
    </w:p>
    <w:p w14:paraId="5E42EF55" w14:textId="06D7FB2F" w:rsidR="009E1794" w:rsidRDefault="00D70C41">
      <w:pPr>
        <w:pStyle w:val="ListParagraph"/>
        <w:numPr>
          <w:ilvl w:val="1"/>
          <w:numId w:val="1"/>
        </w:numPr>
        <w:tabs>
          <w:tab w:val="left" w:pos="1109"/>
          <w:tab w:val="left" w:pos="1111"/>
        </w:tabs>
        <w:spacing w:before="113" w:line="211" w:lineRule="auto"/>
        <w:ind w:right="163"/>
        <w:rPr>
          <w:sz w:val="20"/>
        </w:rPr>
      </w:pPr>
      <w:r>
        <w:rPr>
          <w:sz w:val="20"/>
        </w:rPr>
        <w:t>(</w:t>
      </w:r>
      <w:r w:rsidRPr="00D70C41">
        <w:rPr>
          <w:sz w:val="20"/>
          <w:highlight w:val="yellow"/>
        </w:rPr>
        <w:t>Position</w:t>
      </w:r>
      <w:r>
        <w:rPr>
          <w:sz w:val="20"/>
        </w:rPr>
        <w:t xml:space="preserve">) will identify community collection locations in collaboration with Public Health, Laboratory, </w:t>
      </w:r>
      <w:r w:rsidR="007D0B1E">
        <w:rPr>
          <w:sz w:val="20"/>
        </w:rPr>
        <w:t>Leasing &amp; Partners</w:t>
      </w:r>
      <w:r>
        <w:rPr>
          <w:sz w:val="20"/>
        </w:rPr>
        <w:t xml:space="preserve"> (for leased locations), </w:t>
      </w:r>
      <w:r w:rsidR="007D0B1E">
        <w:rPr>
          <w:sz w:val="20"/>
        </w:rPr>
        <w:t xml:space="preserve">Parking Services, </w:t>
      </w:r>
      <w:r>
        <w:rPr>
          <w:sz w:val="20"/>
        </w:rPr>
        <w:t xml:space="preserve">Infection Prevention and Control (IPAC), Provincial Workplace Health and Safety (PWCC) and Primary Care leadership (as required). </w:t>
      </w:r>
    </w:p>
    <w:p w14:paraId="48E47D20" w14:textId="4BA6B296" w:rsidR="009E1794" w:rsidRPr="00D70C41" w:rsidRDefault="00D70C41" w:rsidP="00AF6CAD">
      <w:pPr>
        <w:pStyle w:val="ListParagraph"/>
        <w:numPr>
          <w:ilvl w:val="1"/>
          <w:numId w:val="1"/>
        </w:numPr>
        <w:tabs>
          <w:tab w:val="left" w:pos="1109"/>
          <w:tab w:val="left" w:pos="1111"/>
        </w:tabs>
        <w:spacing w:before="120" w:line="213" w:lineRule="auto"/>
        <w:ind w:right="386"/>
        <w:rPr>
          <w:rStyle w:val="Hyperlink"/>
          <w:color w:val="auto"/>
          <w:sz w:val="20"/>
          <w:u w:val="none"/>
        </w:rPr>
      </w:pPr>
      <w:r>
        <w:rPr>
          <w:sz w:val="20"/>
        </w:rPr>
        <w:t xml:space="preserve">Specific actions for </w:t>
      </w:r>
      <w:r w:rsidR="007D0B1E">
        <w:rPr>
          <w:sz w:val="20"/>
        </w:rPr>
        <w:t>selecting site</w:t>
      </w:r>
      <w:r>
        <w:rPr>
          <w:sz w:val="20"/>
        </w:rPr>
        <w:t xml:space="preserve"> locations are in this document:  </w:t>
      </w:r>
      <w:hyperlink r:id="rId10" w:history="1">
        <w:r w:rsidRPr="006A3519">
          <w:rPr>
            <w:rStyle w:val="Hyperlink"/>
            <w:rFonts w:eastAsia="Aptos" w:cs="Times New Roman"/>
            <w:kern w:val="2"/>
            <w:sz w:val="20"/>
            <w:szCs w:val="20"/>
            <w14:ligatures w14:val="standardContextual"/>
          </w:rPr>
          <w:t>specimen location selection considerations</w:t>
        </w:r>
      </w:hyperlink>
      <w:r>
        <w:rPr>
          <w:rStyle w:val="Hyperlink"/>
          <w:rFonts w:eastAsia="Aptos" w:cs="Times New Roman"/>
          <w:kern w:val="2"/>
          <w:sz w:val="20"/>
          <w:szCs w:val="20"/>
          <w14:ligatures w14:val="standardContextual"/>
        </w:rPr>
        <w:t>.</w:t>
      </w:r>
    </w:p>
    <w:p w14:paraId="00A10806" w14:textId="195D4DA0" w:rsidR="009E1794" w:rsidRDefault="00AC2958" w:rsidP="00AF6CAD">
      <w:pPr>
        <w:pStyle w:val="Heading2"/>
        <w:numPr>
          <w:ilvl w:val="0"/>
          <w:numId w:val="1"/>
        </w:numPr>
        <w:tabs>
          <w:tab w:val="left" w:pos="478"/>
        </w:tabs>
        <w:spacing w:before="120"/>
        <w:ind w:left="478" w:hanging="358"/>
        <w:rPr>
          <w:color w:val="2E4F87"/>
        </w:rPr>
      </w:pPr>
      <w:r>
        <w:rPr>
          <w:color w:val="2E4F87"/>
        </w:rPr>
        <w:t xml:space="preserve">Planning, </w:t>
      </w:r>
      <w:r w:rsidR="001B1D63">
        <w:rPr>
          <w:color w:val="2E4F87"/>
        </w:rPr>
        <w:t>L</w:t>
      </w:r>
      <w:r>
        <w:rPr>
          <w:color w:val="2E4F87"/>
        </w:rPr>
        <w:t>ogistics</w:t>
      </w:r>
    </w:p>
    <w:p w14:paraId="4E1830B6" w14:textId="587319D6" w:rsidR="009E1794" w:rsidRDefault="00D70C41" w:rsidP="00D62F35">
      <w:pPr>
        <w:pStyle w:val="ListParagraph"/>
        <w:numPr>
          <w:ilvl w:val="1"/>
          <w:numId w:val="1"/>
        </w:numPr>
        <w:tabs>
          <w:tab w:val="left" w:pos="1111"/>
        </w:tabs>
        <w:spacing w:before="111" w:line="213" w:lineRule="auto"/>
        <w:ind w:right="363"/>
        <w:rPr>
          <w:sz w:val="20"/>
        </w:rPr>
      </w:pPr>
      <w:r>
        <w:rPr>
          <w:sz w:val="20"/>
        </w:rPr>
        <w:t>(</w:t>
      </w:r>
      <w:r w:rsidRPr="00C07450">
        <w:rPr>
          <w:sz w:val="20"/>
          <w:highlight w:val="yellow"/>
        </w:rPr>
        <w:t>Leadership</w:t>
      </w:r>
      <w:r>
        <w:rPr>
          <w:sz w:val="20"/>
        </w:rPr>
        <w:t>) will work with Laboratory, IPAC, PWCC</w:t>
      </w:r>
      <w:r w:rsidR="00534E2C">
        <w:rPr>
          <w:sz w:val="20"/>
        </w:rPr>
        <w:t>, Public Health and CDU</w:t>
      </w:r>
      <w:r>
        <w:rPr>
          <w:sz w:val="20"/>
        </w:rPr>
        <w:t xml:space="preserve"> to prepare for specimen collection activities. </w:t>
      </w:r>
    </w:p>
    <w:p w14:paraId="6C169140" w14:textId="0A1381A0" w:rsidR="00D70C41" w:rsidRDefault="00694967" w:rsidP="007A0563">
      <w:pPr>
        <w:pStyle w:val="NoSpacing"/>
        <w:numPr>
          <w:ilvl w:val="0"/>
          <w:numId w:val="2"/>
        </w:numPr>
        <w:ind w:left="1418"/>
        <w:rPr>
          <w:rFonts w:ascii="Montserrat" w:eastAsia="Montserrat" w:hAnsi="Montserrat" w:cs="Montserrat"/>
          <w:szCs w:val="22"/>
        </w:rPr>
      </w:pPr>
      <w:hyperlink r:id="rId11" w:history="1">
        <w:r w:rsidR="00836F7A" w:rsidRPr="00836F7A">
          <w:rPr>
            <w:rStyle w:val="Hyperlink"/>
            <w:rFonts w:ascii="Montserrat" w:eastAsia="Montserrat" w:hAnsi="Montserrat" w:cs="Montserrat"/>
            <w:szCs w:val="22"/>
          </w:rPr>
          <w:t>Laboratory</w:t>
        </w:r>
      </w:hyperlink>
      <w:r w:rsidR="00836F7A">
        <w:rPr>
          <w:rFonts w:ascii="Montserrat" w:eastAsia="Montserrat" w:hAnsi="Montserrat" w:cs="Montserrat"/>
          <w:szCs w:val="22"/>
        </w:rPr>
        <w:t xml:space="preserve"> requirements</w:t>
      </w:r>
      <w:r w:rsidR="00974E31">
        <w:rPr>
          <w:rFonts w:ascii="Montserrat" w:eastAsia="Montserrat" w:hAnsi="Montserrat" w:cs="Montserrat"/>
          <w:szCs w:val="22"/>
        </w:rPr>
        <w:t xml:space="preserve"> for nasopharyngeal/throat swab and urine collection</w:t>
      </w:r>
    </w:p>
    <w:p w14:paraId="26713032" w14:textId="6B9F30AA" w:rsidR="00836F7A" w:rsidRDefault="00694967" w:rsidP="007A0563">
      <w:pPr>
        <w:pStyle w:val="NoSpacing"/>
        <w:numPr>
          <w:ilvl w:val="0"/>
          <w:numId w:val="2"/>
        </w:numPr>
        <w:ind w:left="1418"/>
        <w:rPr>
          <w:rFonts w:ascii="Montserrat" w:eastAsia="Montserrat" w:hAnsi="Montserrat" w:cs="Montserrat"/>
          <w:szCs w:val="22"/>
        </w:rPr>
      </w:pPr>
      <w:hyperlink r:id="rId12" w:history="1">
        <w:r w:rsidR="00836F7A" w:rsidRPr="00836F7A">
          <w:rPr>
            <w:rStyle w:val="Hyperlink"/>
            <w:rFonts w:ascii="Montserrat" w:eastAsia="Montserrat" w:hAnsi="Montserrat" w:cs="Montserrat"/>
            <w:szCs w:val="22"/>
          </w:rPr>
          <w:t>IPAC</w:t>
        </w:r>
      </w:hyperlink>
      <w:r w:rsidR="00836F7A">
        <w:rPr>
          <w:rFonts w:ascii="Montserrat" w:eastAsia="Montserrat" w:hAnsi="Montserrat" w:cs="Montserrat"/>
          <w:szCs w:val="22"/>
        </w:rPr>
        <w:t xml:space="preserve"> requirements</w:t>
      </w:r>
    </w:p>
    <w:p w14:paraId="5C1C6669" w14:textId="3E5B946A" w:rsidR="00836F7A" w:rsidRDefault="00694967" w:rsidP="007A0563">
      <w:pPr>
        <w:pStyle w:val="NoSpacing"/>
        <w:numPr>
          <w:ilvl w:val="0"/>
          <w:numId w:val="2"/>
        </w:numPr>
        <w:ind w:left="1418"/>
        <w:rPr>
          <w:rFonts w:ascii="Montserrat" w:eastAsia="Montserrat" w:hAnsi="Montserrat" w:cs="Montserrat"/>
          <w:szCs w:val="22"/>
        </w:rPr>
      </w:pPr>
      <w:hyperlink r:id="rId13" w:history="1">
        <w:r w:rsidR="00836F7A" w:rsidRPr="00836F7A">
          <w:rPr>
            <w:rStyle w:val="Hyperlink"/>
            <w:rFonts w:ascii="Montserrat" w:eastAsia="Montserrat" w:hAnsi="Montserrat" w:cs="Montserrat"/>
            <w:szCs w:val="22"/>
          </w:rPr>
          <w:t>Workplace Health and Safety</w:t>
        </w:r>
      </w:hyperlink>
      <w:r w:rsidR="00836F7A">
        <w:rPr>
          <w:rFonts w:ascii="Montserrat" w:eastAsia="Montserrat" w:hAnsi="Montserrat" w:cs="Montserrat"/>
          <w:szCs w:val="22"/>
        </w:rPr>
        <w:t xml:space="preserve"> requirements</w:t>
      </w:r>
    </w:p>
    <w:p w14:paraId="32F602F9" w14:textId="3A801B7A" w:rsidR="00534E2C" w:rsidRPr="00CE6858" w:rsidRDefault="00985F08" w:rsidP="007A0563">
      <w:pPr>
        <w:pStyle w:val="ListParagraph"/>
        <w:widowControl/>
        <w:numPr>
          <w:ilvl w:val="0"/>
          <w:numId w:val="3"/>
        </w:numPr>
        <w:autoSpaceDE/>
        <w:autoSpaceDN/>
        <w:spacing w:before="0" w:line="276" w:lineRule="auto"/>
        <w:ind w:left="1418"/>
        <w:rPr>
          <w:rStyle w:val="Hyperlink"/>
          <w:rFonts w:eastAsia="Aptos" w:cs="Times New Roman"/>
          <w:kern w:val="2"/>
          <w:sz w:val="20"/>
          <w:szCs w:val="20"/>
          <w14:ligatures w14:val="standardContextual"/>
        </w:rPr>
      </w:pPr>
      <w:r w:rsidRPr="00985F08">
        <w:rPr>
          <w:sz w:val="20"/>
        </w:rPr>
        <w:t>Confirm that staff have completed education</w:t>
      </w:r>
      <w:r>
        <w:rPr>
          <w:sz w:val="20"/>
        </w:rPr>
        <w:t xml:space="preserve"> </w:t>
      </w:r>
      <w:r w:rsidR="00534E2C" w:rsidRPr="00985F08">
        <w:rPr>
          <w:sz w:val="20"/>
        </w:rPr>
        <w:t>for</w:t>
      </w:r>
      <w:r w:rsidR="00534E2C">
        <w:t xml:space="preserve"> </w:t>
      </w:r>
      <w:r w:rsidR="00CE6858">
        <w:rPr>
          <w:rFonts w:eastAsia="Aptos" w:cs="Times New Roman"/>
          <w:color w:val="0000FF"/>
          <w:kern w:val="2"/>
          <w:sz w:val="20"/>
          <w:szCs w:val="20"/>
          <w:u w:val="single"/>
          <w14:ligatures w14:val="standardContextual"/>
        </w:rPr>
        <w:fldChar w:fldCharType="begin"/>
      </w:r>
      <w:r w:rsidR="009625DD">
        <w:rPr>
          <w:rFonts w:eastAsia="Aptos" w:cs="Times New Roman"/>
          <w:color w:val="0000FF"/>
          <w:kern w:val="2"/>
          <w:sz w:val="20"/>
          <w:szCs w:val="20"/>
          <w:u w:val="single"/>
          <w14:ligatures w14:val="standardContextual"/>
        </w:rPr>
        <w:instrText>HYPERLINK "https://healthbc.sharepoint.com/sites/LaboratoryPortalIH/Shared%20Documents/Forms/AllItems.aspx?id=%2Fsites%2FLaboratoryPortalIH%2FShared%20Documents%2FNasopharyngeal%20%28NP%29%20Swab%20Collection%20Instructions%2Epdf&amp;parent=%2Fsites%2FLaboratoryPortalIH%2FShared%20Documents"</w:instrText>
      </w:r>
      <w:r w:rsidR="00CE6858">
        <w:rPr>
          <w:rFonts w:eastAsia="Aptos" w:cs="Times New Roman"/>
          <w:color w:val="0000FF"/>
          <w:kern w:val="2"/>
          <w:sz w:val="20"/>
          <w:szCs w:val="20"/>
          <w:u w:val="single"/>
          <w14:ligatures w14:val="standardContextual"/>
        </w:rPr>
      </w:r>
      <w:r w:rsidR="00CE6858">
        <w:rPr>
          <w:rFonts w:eastAsia="Aptos" w:cs="Times New Roman"/>
          <w:color w:val="0000FF"/>
          <w:kern w:val="2"/>
          <w:sz w:val="20"/>
          <w:szCs w:val="20"/>
          <w:u w:val="single"/>
          <w14:ligatures w14:val="standardContextual"/>
        </w:rPr>
        <w:fldChar w:fldCharType="separate"/>
      </w:r>
      <w:r w:rsidR="00534E2C" w:rsidRPr="00CE6858">
        <w:rPr>
          <w:rStyle w:val="Hyperlink"/>
          <w:rFonts w:eastAsia="Aptos" w:cs="Times New Roman"/>
          <w:kern w:val="2"/>
          <w:sz w:val="20"/>
          <w:szCs w:val="20"/>
          <w14:ligatures w14:val="standardContextual"/>
        </w:rPr>
        <w:t>nasopharyngeal swab collection</w:t>
      </w:r>
    </w:p>
    <w:p w14:paraId="30333A13" w14:textId="59F21631" w:rsidR="00534E2C" w:rsidRPr="00D70C41" w:rsidRDefault="00CE6858" w:rsidP="007A0563">
      <w:pPr>
        <w:pStyle w:val="NoSpacing"/>
        <w:numPr>
          <w:ilvl w:val="0"/>
          <w:numId w:val="2"/>
        </w:numPr>
        <w:ind w:left="1418"/>
        <w:rPr>
          <w:rFonts w:ascii="Montserrat" w:eastAsia="Montserrat" w:hAnsi="Montserrat" w:cs="Montserrat"/>
          <w:szCs w:val="22"/>
        </w:rPr>
      </w:pPr>
      <w:r>
        <w:rPr>
          <w:rFonts w:ascii="Montserrat" w:eastAsia="Aptos" w:hAnsi="Montserrat"/>
          <w:color w:val="0000FF"/>
          <w:kern w:val="2"/>
          <w:u w:val="single"/>
          <w14:ligatures w14:val="standardContextual"/>
        </w:rPr>
        <w:fldChar w:fldCharType="end"/>
      </w:r>
      <w:r w:rsidR="00C07450">
        <w:rPr>
          <w:rFonts w:ascii="Montserrat" w:eastAsia="Montserrat" w:hAnsi="Montserrat" w:cs="Montserrat"/>
          <w:szCs w:val="22"/>
        </w:rPr>
        <w:t xml:space="preserve">The Medical Health Officer </w:t>
      </w:r>
      <w:r w:rsidR="00985F08">
        <w:rPr>
          <w:rFonts w:ascii="Montserrat" w:eastAsia="Montserrat" w:hAnsi="Montserrat" w:cs="Montserrat"/>
          <w:szCs w:val="22"/>
        </w:rPr>
        <w:t>is the physician for test orders</w:t>
      </w:r>
      <w:r>
        <w:rPr>
          <w:rFonts w:ascii="Montserrat" w:eastAsia="Montserrat" w:hAnsi="Montserrat" w:cs="Montserrat"/>
          <w:szCs w:val="22"/>
        </w:rPr>
        <w:t xml:space="preserve"> for this directed specimen collection. </w:t>
      </w:r>
    </w:p>
    <w:p w14:paraId="71FFFCA9" w14:textId="17FB1F04" w:rsidR="009E1794" w:rsidRDefault="00D70C41">
      <w:pPr>
        <w:pStyle w:val="Heading2"/>
        <w:numPr>
          <w:ilvl w:val="0"/>
          <w:numId w:val="1"/>
        </w:numPr>
        <w:tabs>
          <w:tab w:val="left" w:pos="479"/>
        </w:tabs>
        <w:spacing w:before="77"/>
        <w:ind w:left="479" w:hanging="359"/>
        <w:rPr>
          <w:color w:val="2E4F87"/>
        </w:rPr>
      </w:pPr>
      <w:r>
        <w:rPr>
          <w:color w:val="2E4F87"/>
        </w:rPr>
        <w:lastRenderedPageBreak/>
        <w:t>Responding at the Determined Collection Level</w:t>
      </w:r>
    </w:p>
    <w:p w14:paraId="048CD350" w14:textId="7D8A9126" w:rsidR="009E1794" w:rsidRDefault="00836F7A">
      <w:pPr>
        <w:pStyle w:val="ListParagraph"/>
        <w:numPr>
          <w:ilvl w:val="1"/>
          <w:numId w:val="1"/>
        </w:numPr>
        <w:tabs>
          <w:tab w:val="left" w:pos="1109"/>
        </w:tabs>
        <w:spacing w:before="86"/>
        <w:ind w:left="1109" w:hanging="423"/>
        <w:rPr>
          <w:sz w:val="20"/>
        </w:rPr>
      </w:pPr>
      <w:r>
        <w:rPr>
          <w:sz w:val="20"/>
        </w:rPr>
        <w:t xml:space="preserve">The MRCC will indicate the collection level for the specimen collection process. </w:t>
      </w:r>
    </w:p>
    <w:tbl>
      <w:tblPr>
        <w:tblStyle w:val="TableGrid2"/>
        <w:tblpPr w:leftFromText="180" w:rightFromText="180" w:vertAnchor="text" w:horzAnchor="margin" w:tblpX="279" w:tblpY="105"/>
        <w:tblW w:w="0" w:type="auto"/>
        <w:tblLook w:val="04A0" w:firstRow="1" w:lastRow="0" w:firstColumn="1" w:lastColumn="0" w:noHBand="0" w:noVBand="1"/>
      </w:tblPr>
      <w:tblGrid>
        <w:gridCol w:w="1129"/>
        <w:gridCol w:w="3544"/>
        <w:gridCol w:w="4677"/>
      </w:tblGrid>
      <w:tr w:rsidR="00836F7A" w:rsidRPr="00AC2958" w14:paraId="4480B6E8" w14:textId="77777777" w:rsidTr="00974E31">
        <w:tc>
          <w:tcPr>
            <w:tcW w:w="1129" w:type="dxa"/>
            <w:vAlign w:val="center"/>
          </w:tcPr>
          <w:p w14:paraId="7ED8F7D1" w14:textId="4C13AB38" w:rsidR="00836F7A" w:rsidRPr="00AC2958" w:rsidRDefault="00836F7A" w:rsidP="00974E31">
            <w:pPr>
              <w:rPr>
                <w:rFonts w:eastAsia="Aptos" w:cs="Times New Roman"/>
                <w:sz w:val="18"/>
                <w:szCs w:val="18"/>
              </w:rPr>
            </w:pPr>
            <w:r w:rsidRPr="00AC2958">
              <w:rPr>
                <w:rFonts w:eastAsia="Aptos" w:cs="Times New Roman"/>
                <w:sz w:val="18"/>
                <w:szCs w:val="18"/>
              </w:rPr>
              <w:t xml:space="preserve">Level </w:t>
            </w:r>
            <w:r w:rsidR="00A16F2D">
              <w:rPr>
                <w:rFonts w:eastAsia="Aptos" w:cs="Times New Roman"/>
                <w:sz w:val="18"/>
                <w:szCs w:val="18"/>
              </w:rPr>
              <w:t>One</w:t>
            </w:r>
          </w:p>
        </w:tc>
        <w:tc>
          <w:tcPr>
            <w:tcW w:w="3544" w:type="dxa"/>
            <w:vAlign w:val="center"/>
          </w:tcPr>
          <w:p w14:paraId="64A80E53" w14:textId="77777777" w:rsidR="00836F7A" w:rsidRPr="00AC2958" w:rsidRDefault="00836F7A" w:rsidP="00974E31">
            <w:pPr>
              <w:rPr>
                <w:rFonts w:eastAsia="Aptos" w:cs="Times New Roman"/>
                <w:sz w:val="18"/>
                <w:szCs w:val="18"/>
              </w:rPr>
            </w:pPr>
            <w:r w:rsidRPr="00AC2958">
              <w:rPr>
                <w:rFonts w:eastAsia="Aptos" w:cs="Times New Roman"/>
                <w:sz w:val="18"/>
                <w:szCs w:val="18"/>
              </w:rPr>
              <w:t>Measles has not been detected in the community.</w:t>
            </w:r>
          </w:p>
        </w:tc>
        <w:tc>
          <w:tcPr>
            <w:tcW w:w="4677" w:type="dxa"/>
            <w:vAlign w:val="center"/>
          </w:tcPr>
          <w:p w14:paraId="053074AD" w14:textId="77777777" w:rsidR="00534E2C" w:rsidRPr="000E361D" w:rsidRDefault="00836F7A" w:rsidP="000E361D">
            <w:pPr>
              <w:pStyle w:val="ListParagraph"/>
              <w:numPr>
                <w:ilvl w:val="0"/>
                <w:numId w:val="2"/>
              </w:numPr>
              <w:ind w:left="171" w:hanging="219"/>
              <w:rPr>
                <w:rFonts w:eastAsia="Aptos" w:cs="Times New Roman"/>
                <w:sz w:val="18"/>
                <w:szCs w:val="18"/>
              </w:rPr>
            </w:pPr>
            <w:r w:rsidRPr="000E361D">
              <w:rPr>
                <w:rFonts w:eastAsia="Aptos" w:cs="Times New Roman"/>
                <w:sz w:val="18"/>
                <w:szCs w:val="18"/>
              </w:rPr>
              <w:t>Collection available by appointment during regular business hours</w:t>
            </w:r>
            <w:r w:rsidR="00A658D6" w:rsidRPr="000E361D">
              <w:rPr>
                <w:rFonts w:eastAsia="Aptos" w:cs="Times New Roman"/>
                <w:sz w:val="18"/>
                <w:szCs w:val="18"/>
              </w:rPr>
              <w:t xml:space="preserve"> (8:30-4:30)</w:t>
            </w:r>
            <w:r w:rsidRPr="000E361D">
              <w:rPr>
                <w:rFonts w:eastAsia="Aptos" w:cs="Times New Roman"/>
                <w:sz w:val="18"/>
                <w:szCs w:val="18"/>
              </w:rPr>
              <w:t xml:space="preserve">. </w:t>
            </w:r>
          </w:p>
          <w:p w14:paraId="219B7D88" w14:textId="652B885F" w:rsidR="00534E2C" w:rsidRPr="000E361D" w:rsidRDefault="00534E2C" w:rsidP="000E361D">
            <w:pPr>
              <w:pStyle w:val="ListParagraph"/>
              <w:numPr>
                <w:ilvl w:val="0"/>
                <w:numId w:val="2"/>
              </w:numPr>
              <w:ind w:left="171" w:hanging="219"/>
              <w:rPr>
                <w:rFonts w:eastAsia="Aptos" w:cs="Times New Roman"/>
                <w:sz w:val="18"/>
                <w:szCs w:val="18"/>
              </w:rPr>
            </w:pPr>
            <w:r w:rsidRPr="000E361D">
              <w:rPr>
                <w:rFonts w:eastAsia="Aptos" w:cs="Times New Roman"/>
                <w:sz w:val="18"/>
                <w:szCs w:val="18"/>
              </w:rPr>
              <w:t xml:space="preserve">Extended hours and days may be available if the collection location is a UPCC. </w:t>
            </w:r>
          </w:p>
          <w:p w14:paraId="1E3A7AAB" w14:textId="521B86AB" w:rsidR="00534E2C" w:rsidRPr="000E361D" w:rsidRDefault="00836F7A" w:rsidP="000E361D">
            <w:pPr>
              <w:pStyle w:val="ListParagraph"/>
              <w:numPr>
                <w:ilvl w:val="0"/>
                <w:numId w:val="2"/>
              </w:numPr>
              <w:ind w:left="171" w:hanging="219"/>
              <w:rPr>
                <w:rFonts w:eastAsia="Aptos" w:cs="Times New Roman"/>
                <w:sz w:val="18"/>
                <w:szCs w:val="18"/>
              </w:rPr>
            </w:pPr>
            <w:r w:rsidRPr="000E361D">
              <w:rPr>
                <w:rFonts w:eastAsia="Aptos" w:cs="Times New Roman"/>
                <w:sz w:val="18"/>
                <w:szCs w:val="18"/>
              </w:rPr>
              <w:t>Dedicated collection nurse not required if appointments can be managed with baseline staffing.</w:t>
            </w:r>
          </w:p>
        </w:tc>
      </w:tr>
      <w:tr w:rsidR="00836F7A" w:rsidRPr="00AC2958" w14:paraId="22BE65D9" w14:textId="77777777" w:rsidTr="00974E31">
        <w:tc>
          <w:tcPr>
            <w:tcW w:w="1129" w:type="dxa"/>
            <w:vAlign w:val="center"/>
          </w:tcPr>
          <w:p w14:paraId="18F5B262" w14:textId="1FEC4A76" w:rsidR="00836F7A" w:rsidRPr="00AC2958" w:rsidRDefault="00836F7A" w:rsidP="00974E31">
            <w:pPr>
              <w:rPr>
                <w:rFonts w:eastAsia="Aptos" w:cs="Times New Roman"/>
                <w:sz w:val="18"/>
                <w:szCs w:val="18"/>
              </w:rPr>
            </w:pPr>
            <w:r w:rsidRPr="00AC2958">
              <w:rPr>
                <w:rFonts w:eastAsia="Aptos" w:cs="Times New Roman"/>
                <w:sz w:val="18"/>
                <w:szCs w:val="18"/>
              </w:rPr>
              <w:t xml:space="preserve">Level </w:t>
            </w:r>
            <w:r w:rsidR="00A16F2D">
              <w:rPr>
                <w:rFonts w:eastAsia="Aptos" w:cs="Times New Roman"/>
                <w:sz w:val="18"/>
                <w:szCs w:val="18"/>
              </w:rPr>
              <w:t>Two</w:t>
            </w:r>
          </w:p>
        </w:tc>
        <w:tc>
          <w:tcPr>
            <w:tcW w:w="3544" w:type="dxa"/>
            <w:vAlign w:val="center"/>
          </w:tcPr>
          <w:p w14:paraId="24C913BF" w14:textId="77777777" w:rsidR="00836F7A" w:rsidRPr="00AC2958" w:rsidRDefault="00836F7A" w:rsidP="00974E31">
            <w:pPr>
              <w:rPr>
                <w:rFonts w:eastAsia="Aptos" w:cs="Times New Roman"/>
                <w:sz w:val="18"/>
                <w:szCs w:val="18"/>
              </w:rPr>
            </w:pPr>
            <w:r w:rsidRPr="00AC2958">
              <w:rPr>
                <w:rFonts w:eastAsia="Aptos" w:cs="Times New Roman"/>
                <w:sz w:val="18"/>
                <w:szCs w:val="18"/>
              </w:rPr>
              <w:t>Measles case in the community with limited number of contacts.</w:t>
            </w:r>
          </w:p>
        </w:tc>
        <w:tc>
          <w:tcPr>
            <w:tcW w:w="4677" w:type="dxa"/>
            <w:vAlign w:val="center"/>
          </w:tcPr>
          <w:p w14:paraId="184E58CD" w14:textId="701C1BD9" w:rsidR="00534E2C" w:rsidRDefault="00836F7A" w:rsidP="000E361D">
            <w:pPr>
              <w:pStyle w:val="ListParagraph"/>
              <w:numPr>
                <w:ilvl w:val="0"/>
                <w:numId w:val="2"/>
              </w:numPr>
              <w:ind w:left="171" w:hanging="219"/>
              <w:rPr>
                <w:rFonts w:eastAsia="Aptos" w:cs="Times New Roman"/>
                <w:sz w:val="18"/>
                <w:szCs w:val="18"/>
              </w:rPr>
            </w:pPr>
            <w:r w:rsidRPr="00AC2958">
              <w:rPr>
                <w:rFonts w:eastAsia="Aptos" w:cs="Times New Roman"/>
                <w:sz w:val="18"/>
                <w:szCs w:val="18"/>
              </w:rPr>
              <w:t xml:space="preserve">As for Level </w:t>
            </w:r>
            <w:r w:rsidR="00A16F2D">
              <w:rPr>
                <w:rFonts w:eastAsia="Aptos" w:cs="Times New Roman"/>
                <w:sz w:val="18"/>
                <w:szCs w:val="18"/>
              </w:rPr>
              <w:t>One</w:t>
            </w:r>
            <w:r w:rsidRPr="00AC2958">
              <w:rPr>
                <w:rFonts w:eastAsia="Aptos" w:cs="Times New Roman"/>
                <w:sz w:val="18"/>
                <w:szCs w:val="18"/>
              </w:rPr>
              <w:t xml:space="preserve"> with additional appointments during regular business hours. </w:t>
            </w:r>
          </w:p>
          <w:p w14:paraId="009A0E36" w14:textId="77777777" w:rsidR="00534E2C" w:rsidRDefault="00534E2C" w:rsidP="000E361D">
            <w:pPr>
              <w:pStyle w:val="ListParagraph"/>
              <w:numPr>
                <w:ilvl w:val="0"/>
                <w:numId w:val="2"/>
              </w:numPr>
              <w:ind w:left="171" w:hanging="219"/>
              <w:rPr>
                <w:rFonts w:eastAsia="Aptos" w:cs="Times New Roman"/>
                <w:sz w:val="18"/>
                <w:szCs w:val="18"/>
              </w:rPr>
            </w:pPr>
            <w:r>
              <w:rPr>
                <w:rFonts w:eastAsia="Aptos" w:cs="Times New Roman"/>
                <w:sz w:val="18"/>
                <w:szCs w:val="18"/>
              </w:rPr>
              <w:t>Extended hours and days may be available if the collection location is a UPCC.</w:t>
            </w:r>
            <w:r w:rsidRPr="00AC2958">
              <w:rPr>
                <w:rFonts w:eastAsia="Aptos" w:cs="Times New Roman"/>
                <w:sz w:val="18"/>
                <w:szCs w:val="18"/>
              </w:rPr>
              <w:t xml:space="preserve"> </w:t>
            </w:r>
          </w:p>
          <w:p w14:paraId="51075E6D" w14:textId="2EF8C29A" w:rsidR="00836F7A" w:rsidRPr="00AC2958" w:rsidRDefault="00836F7A" w:rsidP="000E361D">
            <w:pPr>
              <w:pStyle w:val="ListParagraph"/>
              <w:numPr>
                <w:ilvl w:val="0"/>
                <w:numId w:val="2"/>
              </w:numPr>
              <w:ind w:left="171" w:hanging="219"/>
              <w:rPr>
                <w:rFonts w:eastAsia="Aptos" w:cs="Times New Roman"/>
                <w:sz w:val="18"/>
                <w:szCs w:val="18"/>
              </w:rPr>
            </w:pPr>
            <w:r w:rsidRPr="00AC2958">
              <w:rPr>
                <w:rFonts w:eastAsia="Aptos" w:cs="Times New Roman"/>
                <w:sz w:val="18"/>
                <w:szCs w:val="18"/>
              </w:rPr>
              <w:t>Dedicated nurses may be required to meet demand.</w:t>
            </w:r>
          </w:p>
        </w:tc>
      </w:tr>
      <w:tr w:rsidR="00836F7A" w:rsidRPr="00AC2958" w14:paraId="23B05CF3" w14:textId="77777777" w:rsidTr="00974E31">
        <w:tc>
          <w:tcPr>
            <w:tcW w:w="1129" w:type="dxa"/>
            <w:vAlign w:val="center"/>
          </w:tcPr>
          <w:p w14:paraId="7D55FF09" w14:textId="09C0A831" w:rsidR="00836F7A" w:rsidRPr="00AC2958" w:rsidRDefault="00836F7A" w:rsidP="00974E31">
            <w:pPr>
              <w:rPr>
                <w:rFonts w:eastAsia="Aptos" w:cs="Times New Roman"/>
                <w:sz w:val="18"/>
                <w:szCs w:val="18"/>
              </w:rPr>
            </w:pPr>
            <w:r w:rsidRPr="00AC2958">
              <w:rPr>
                <w:rFonts w:eastAsia="Aptos" w:cs="Times New Roman"/>
                <w:sz w:val="18"/>
                <w:szCs w:val="18"/>
              </w:rPr>
              <w:t xml:space="preserve">Level </w:t>
            </w:r>
            <w:r w:rsidR="00A16F2D">
              <w:rPr>
                <w:rFonts w:eastAsia="Aptos" w:cs="Times New Roman"/>
                <w:sz w:val="18"/>
                <w:szCs w:val="18"/>
              </w:rPr>
              <w:t>Three</w:t>
            </w:r>
          </w:p>
        </w:tc>
        <w:tc>
          <w:tcPr>
            <w:tcW w:w="3544" w:type="dxa"/>
            <w:vAlign w:val="center"/>
          </w:tcPr>
          <w:p w14:paraId="6725E7DD" w14:textId="77777777" w:rsidR="00836F7A" w:rsidRPr="00AC2958" w:rsidRDefault="00836F7A" w:rsidP="00974E31">
            <w:pPr>
              <w:rPr>
                <w:rFonts w:eastAsia="Aptos" w:cs="Times New Roman"/>
                <w:sz w:val="18"/>
                <w:szCs w:val="18"/>
              </w:rPr>
            </w:pPr>
            <w:r w:rsidRPr="00AC2958">
              <w:rPr>
                <w:rFonts w:eastAsia="Aptos" w:cs="Times New Roman"/>
                <w:sz w:val="18"/>
                <w:szCs w:val="18"/>
              </w:rPr>
              <w:t>Multiple confirmed cases and/or significant number of contacts.</w:t>
            </w:r>
          </w:p>
        </w:tc>
        <w:tc>
          <w:tcPr>
            <w:tcW w:w="4677" w:type="dxa"/>
            <w:vAlign w:val="center"/>
          </w:tcPr>
          <w:p w14:paraId="02F7B490" w14:textId="3405F473" w:rsidR="00534E2C" w:rsidRDefault="00836F7A" w:rsidP="000E361D">
            <w:pPr>
              <w:pStyle w:val="ListParagraph"/>
              <w:numPr>
                <w:ilvl w:val="0"/>
                <w:numId w:val="2"/>
              </w:numPr>
              <w:ind w:left="171" w:hanging="219"/>
              <w:rPr>
                <w:rFonts w:eastAsia="Aptos" w:cs="Times New Roman"/>
                <w:sz w:val="18"/>
                <w:szCs w:val="18"/>
              </w:rPr>
            </w:pPr>
            <w:r w:rsidRPr="00AC2958">
              <w:rPr>
                <w:rFonts w:eastAsia="Aptos" w:cs="Times New Roman"/>
                <w:sz w:val="18"/>
                <w:szCs w:val="18"/>
              </w:rPr>
              <w:t xml:space="preserve">As for Level </w:t>
            </w:r>
            <w:r w:rsidR="00A16F2D">
              <w:rPr>
                <w:rFonts w:eastAsia="Aptos" w:cs="Times New Roman"/>
                <w:sz w:val="18"/>
                <w:szCs w:val="18"/>
              </w:rPr>
              <w:t>Two</w:t>
            </w:r>
            <w:r w:rsidRPr="00AC2958">
              <w:rPr>
                <w:rFonts w:eastAsia="Aptos" w:cs="Times New Roman"/>
                <w:sz w:val="18"/>
                <w:szCs w:val="18"/>
              </w:rPr>
              <w:t xml:space="preserve"> with service expanded to evenings and weekends. </w:t>
            </w:r>
          </w:p>
          <w:p w14:paraId="343D0332" w14:textId="5706EA81" w:rsidR="00836F7A" w:rsidRPr="00AC2958" w:rsidRDefault="00974E31" w:rsidP="000E361D">
            <w:pPr>
              <w:pStyle w:val="ListParagraph"/>
              <w:numPr>
                <w:ilvl w:val="0"/>
                <w:numId w:val="2"/>
              </w:numPr>
              <w:ind w:left="171" w:hanging="219"/>
              <w:rPr>
                <w:rFonts w:eastAsia="Aptos" w:cs="Times New Roman"/>
                <w:sz w:val="18"/>
                <w:szCs w:val="18"/>
              </w:rPr>
            </w:pPr>
            <w:r>
              <w:rPr>
                <w:rFonts w:eastAsia="Aptos" w:cs="Times New Roman"/>
                <w:sz w:val="18"/>
                <w:szCs w:val="18"/>
              </w:rPr>
              <w:t>A t</w:t>
            </w:r>
            <w:r w:rsidR="00836F7A" w:rsidRPr="00AC2958">
              <w:rPr>
                <w:rFonts w:eastAsia="Aptos" w:cs="Times New Roman"/>
                <w:sz w:val="18"/>
                <w:szCs w:val="18"/>
              </w:rPr>
              <w:t>ent may be required to accommodate anticipated volumes.</w:t>
            </w:r>
          </w:p>
        </w:tc>
      </w:tr>
    </w:tbl>
    <w:p w14:paraId="23C4C203" w14:textId="77777777" w:rsidR="00836F7A" w:rsidRDefault="00836F7A" w:rsidP="00836F7A">
      <w:pPr>
        <w:pStyle w:val="Heading2"/>
        <w:tabs>
          <w:tab w:val="left" w:pos="479"/>
        </w:tabs>
        <w:ind w:left="120" w:firstLine="0"/>
        <w:rPr>
          <w:rFonts w:ascii="Verdana"/>
          <w:color w:val="005C9F"/>
        </w:rPr>
      </w:pPr>
    </w:p>
    <w:p w14:paraId="7B3D9595" w14:textId="77777777" w:rsidR="00836F7A" w:rsidRDefault="00836F7A" w:rsidP="00836F7A">
      <w:pPr>
        <w:pStyle w:val="Heading2"/>
        <w:tabs>
          <w:tab w:val="left" w:pos="479"/>
        </w:tabs>
        <w:ind w:left="120" w:firstLine="0"/>
        <w:rPr>
          <w:rFonts w:ascii="Verdana"/>
          <w:color w:val="005C9F"/>
        </w:rPr>
      </w:pPr>
    </w:p>
    <w:p w14:paraId="1B3ACA32" w14:textId="77777777" w:rsidR="00836F7A" w:rsidRDefault="00836F7A" w:rsidP="00836F7A">
      <w:pPr>
        <w:pStyle w:val="Heading2"/>
        <w:tabs>
          <w:tab w:val="left" w:pos="479"/>
        </w:tabs>
        <w:ind w:left="120" w:firstLine="0"/>
        <w:rPr>
          <w:rFonts w:ascii="Verdana"/>
          <w:color w:val="005C9F"/>
        </w:rPr>
      </w:pPr>
    </w:p>
    <w:p w14:paraId="72D480AA" w14:textId="77777777" w:rsidR="00836F7A" w:rsidRDefault="00836F7A" w:rsidP="00836F7A">
      <w:pPr>
        <w:pStyle w:val="Heading2"/>
        <w:tabs>
          <w:tab w:val="left" w:pos="479"/>
        </w:tabs>
        <w:ind w:left="120" w:firstLine="0"/>
        <w:rPr>
          <w:rFonts w:ascii="Verdana"/>
          <w:color w:val="005C9F"/>
        </w:rPr>
      </w:pPr>
    </w:p>
    <w:p w14:paraId="3840D249" w14:textId="77777777" w:rsidR="00836F7A" w:rsidRDefault="00836F7A" w:rsidP="00836F7A">
      <w:pPr>
        <w:pStyle w:val="Heading2"/>
        <w:tabs>
          <w:tab w:val="left" w:pos="479"/>
        </w:tabs>
        <w:ind w:left="120" w:firstLine="0"/>
        <w:rPr>
          <w:rFonts w:ascii="Verdana"/>
          <w:color w:val="005C9F"/>
        </w:rPr>
      </w:pPr>
    </w:p>
    <w:p w14:paraId="2F02FB16" w14:textId="77777777" w:rsidR="00836F7A" w:rsidRDefault="00836F7A" w:rsidP="00836F7A">
      <w:pPr>
        <w:pStyle w:val="Heading2"/>
        <w:tabs>
          <w:tab w:val="left" w:pos="479"/>
        </w:tabs>
        <w:ind w:left="120" w:firstLine="0"/>
        <w:rPr>
          <w:rFonts w:ascii="Verdana"/>
          <w:color w:val="005C9F"/>
        </w:rPr>
      </w:pPr>
    </w:p>
    <w:p w14:paraId="7DCF9EC0" w14:textId="77777777" w:rsidR="00985F08" w:rsidRDefault="00985F08" w:rsidP="00985F08">
      <w:pPr>
        <w:pStyle w:val="Heading2"/>
        <w:tabs>
          <w:tab w:val="left" w:pos="479"/>
        </w:tabs>
        <w:ind w:left="120" w:firstLine="0"/>
        <w:rPr>
          <w:rFonts w:ascii="Verdana"/>
          <w:color w:val="005C9F"/>
        </w:rPr>
      </w:pPr>
    </w:p>
    <w:p w14:paraId="1E5360AB" w14:textId="77777777" w:rsidR="00985F08" w:rsidRDefault="00985F08" w:rsidP="00985F08">
      <w:pPr>
        <w:pStyle w:val="Heading2"/>
        <w:tabs>
          <w:tab w:val="left" w:pos="479"/>
        </w:tabs>
        <w:ind w:left="284" w:firstLine="0"/>
        <w:rPr>
          <w:rFonts w:ascii="Verdana"/>
          <w:color w:val="005C9F"/>
        </w:rPr>
      </w:pPr>
    </w:p>
    <w:p w14:paraId="3069A98C" w14:textId="77777777" w:rsidR="00D62F35" w:rsidRDefault="00D62F35" w:rsidP="00985F08">
      <w:pPr>
        <w:pStyle w:val="Heading2"/>
        <w:tabs>
          <w:tab w:val="left" w:pos="479"/>
        </w:tabs>
        <w:ind w:left="284" w:firstLine="0"/>
        <w:rPr>
          <w:rFonts w:ascii="Verdana"/>
          <w:color w:val="005C9F"/>
        </w:rPr>
      </w:pPr>
    </w:p>
    <w:p w14:paraId="184B1233" w14:textId="77777777" w:rsidR="00D62F35" w:rsidRDefault="00D62F35" w:rsidP="00985F08">
      <w:pPr>
        <w:pStyle w:val="Heading2"/>
        <w:tabs>
          <w:tab w:val="left" w:pos="479"/>
        </w:tabs>
        <w:ind w:left="284" w:firstLine="0"/>
        <w:rPr>
          <w:rFonts w:ascii="Verdana"/>
          <w:color w:val="005C9F"/>
        </w:rPr>
      </w:pPr>
    </w:p>
    <w:p w14:paraId="168CEA02" w14:textId="77777777" w:rsidR="00985F08" w:rsidRPr="00AF6CAD" w:rsidRDefault="00985F08" w:rsidP="00985F08">
      <w:pPr>
        <w:pStyle w:val="Heading2"/>
        <w:tabs>
          <w:tab w:val="left" w:pos="479"/>
        </w:tabs>
        <w:ind w:left="284" w:firstLine="0"/>
        <w:rPr>
          <w:rFonts w:ascii="Verdana"/>
          <w:color w:val="005C9F"/>
          <w:sz w:val="16"/>
          <w:szCs w:val="16"/>
        </w:rPr>
      </w:pPr>
    </w:p>
    <w:p w14:paraId="34F2D89D" w14:textId="2875D129" w:rsidR="009E1794" w:rsidRDefault="008C7F23">
      <w:pPr>
        <w:pStyle w:val="Heading2"/>
        <w:numPr>
          <w:ilvl w:val="0"/>
          <w:numId w:val="1"/>
        </w:numPr>
        <w:tabs>
          <w:tab w:val="left" w:pos="479"/>
        </w:tabs>
        <w:ind w:left="479" w:hanging="359"/>
        <w:rPr>
          <w:rFonts w:ascii="Verdana"/>
          <w:color w:val="005C9F"/>
        </w:rPr>
      </w:pPr>
      <w:r>
        <w:rPr>
          <w:rFonts w:ascii="Verdana"/>
          <w:color w:val="005C9F"/>
        </w:rPr>
        <w:t>Client</w:t>
      </w:r>
      <w:r w:rsidR="00836F7A">
        <w:rPr>
          <w:rFonts w:ascii="Verdana"/>
          <w:color w:val="005C9F"/>
        </w:rPr>
        <w:t xml:space="preserve"> </w:t>
      </w:r>
      <w:r w:rsidR="001B1D63">
        <w:rPr>
          <w:rFonts w:ascii="Verdana"/>
          <w:color w:val="005C9F"/>
        </w:rPr>
        <w:t>E</w:t>
      </w:r>
      <w:r w:rsidR="00836F7A">
        <w:rPr>
          <w:rFonts w:ascii="Verdana"/>
          <w:color w:val="005C9F"/>
        </w:rPr>
        <w:t xml:space="preserve">ncounter </w:t>
      </w:r>
    </w:p>
    <w:p w14:paraId="375E5939" w14:textId="65836486" w:rsidR="00836F7A" w:rsidRPr="00836F7A" w:rsidRDefault="00836F7A" w:rsidP="00836F7A">
      <w:pPr>
        <w:pStyle w:val="Heading2"/>
        <w:rPr>
          <w:rFonts w:ascii="Verdana"/>
          <w:color w:val="005C9F"/>
        </w:rPr>
      </w:pPr>
      <w:r w:rsidRPr="00836F7A">
        <w:rPr>
          <w:rFonts w:ascii="Verdana"/>
          <w:color w:val="005C9F"/>
        </w:rPr>
        <w:t xml:space="preserve">Level One </w:t>
      </w:r>
    </w:p>
    <w:p w14:paraId="636CD8DF" w14:textId="5AA01815" w:rsidR="009E1794" w:rsidRDefault="00836F7A">
      <w:pPr>
        <w:pStyle w:val="ListParagraph"/>
        <w:numPr>
          <w:ilvl w:val="1"/>
          <w:numId w:val="1"/>
        </w:numPr>
        <w:tabs>
          <w:tab w:val="left" w:pos="1111"/>
        </w:tabs>
        <w:spacing w:before="116" w:line="213" w:lineRule="auto"/>
        <w:ind w:right="763"/>
        <w:rPr>
          <w:sz w:val="20"/>
        </w:rPr>
      </w:pPr>
      <w:r>
        <w:rPr>
          <w:sz w:val="20"/>
        </w:rPr>
        <w:t xml:space="preserve">Specimen collection will occur outside – if possible, </w:t>
      </w:r>
      <w:r w:rsidR="008C7F23">
        <w:rPr>
          <w:sz w:val="20"/>
        </w:rPr>
        <w:t>clients</w:t>
      </w:r>
      <w:r>
        <w:rPr>
          <w:sz w:val="20"/>
        </w:rPr>
        <w:t xml:space="preserve"> will remain in their vehicles. </w:t>
      </w:r>
      <w:r w:rsidR="0086340C">
        <w:rPr>
          <w:sz w:val="20"/>
        </w:rPr>
        <w:t xml:space="preserve">Note – specimen collection for children will require a stable chair (see </w:t>
      </w:r>
      <w:hyperlink r:id="rId14" w:history="1">
        <w:r w:rsidR="0086340C" w:rsidRPr="008C2B81">
          <w:rPr>
            <w:rStyle w:val="Hyperlink"/>
            <w:sz w:val="20"/>
          </w:rPr>
          <w:t>IPAC</w:t>
        </w:r>
      </w:hyperlink>
      <w:r w:rsidR="0086340C">
        <w:rPr>
          <w:sz w:val="20"/>
        </w:rPr>
        <w:t xml:space="preserve"> requirements). </w:t>
      </w:r>
    </w:p>
    <w:p w14:paraId="61C8DB0C" w14:textId="4130B795" w:rsidR="009E1794" w:rsidRDefault="008C7F23" w:rsidP="00D62F35">
      <w:pPr>
        <w:pStyle w:val="ListParagraph"/>
        <w:numPr>
          <w:ilvl w:val="1"/>
          <w:numId w:val="1"/>
        </w:numPr>
        <w:tabs>
          <w:tab w:val="left" w:pos="1110"/>
        </w:tabs>
        <w:spacing w:before="116" w:line="213" w:lineRule="auto"/>
        <w:ind w:right="763"/>
        <w:rPr>
          <w:sz w:val="20"/>
        </w:rPr>
      </w:pPr>
      <w:r>
        <w:rPr>
          <w:sz w:val="20"/>
        </w:rPr>
        <w:t>Clients</w:t>
      </w:r>
      <w:r w:rsidR="00836F7A">
        <w:rPr>
          <w:sz w:val="20"/>
        </w:rPr>
        <w:t xml:space="preserve"> will arrive at (</w:t>
      </w:r>
      <w:r w:rsidR="00836F7A" w:rsidRPr="00C07450">
        <w:rPr>
          <w:sz w:val="20"/>
          <w:highlight w:val="yellow"/>
        </w:rPr>
        <w:t>location</w:t>
      </w:r>
      <w:r w:rsidR="00836F7A">
        <w:rPr>
          <w:sz w:val="20"/>
        </w:rPr>
        <w:t>), park in designated stall and turn off vehicle.</w:t>
      </w:r>
    </w:p>
    <w:p w14:paraId="0FE7A932" w14:textId="442423B9" w:rsidR="001A2F87" w:rsidRDefault="001A2F87" w:rsidP="00D62F35">
      <w:pPr>
        <w:pStyle w:val="ListParagraph"/>
        <w:numPr>
          <w:ilvl w:val="1"/>
          <w:numId w:val="1"/>
        </w:numPr>
        <w:tabs>
          <w:tab w:val="left" w:pos="1110"/>
        </w:tabs>
        <w:spacing w:before="116" w:line="213" w:lineRule="auto"/>
        <w:ind w:right="763"/>
        <w:rPr>
          <w:sz w:val="20"/>
        </w:rPr>
      </w:pPr>
      <w:r>
        <w:rPr>
          <w:sz w:val="20"/>
        </w:rPr>
        <w:t xml:space="preserve">Prepare for the client encounter by having necessary equipment, requisition and PPE available. Refer to </w:t>
      </w:r>
      <w:hyperlink r:id="rId15" w:history="1">
        <w:r w:rsidRPr="001A2F87">
          <w:rPr>
            <w:rStyle w:val="Hyperlink"/>
            <w:sz w:val="20"/>
          </w:rPr>
          <w:t>lab</w:t>
        </w:r>
      </w:hyperlink>
      <w:r>
        <w:rPr>
          <w:sz w:val="20"/>
        </w:rPr>
        <w:t xml:space="preserve">, </w:t>
      </w:r>
      <w:hyperlink r:id="rId16" w:history="1">
        <w:r w:rsidRPr="001A2F87">
          <w:rPr>
            <w:rStyle w:val="Hyperlink"/>
            <w:sz w:val="20"/>
          </w:rPr>
          <w:t>IPAC</w:t>
        </w:r>
      </w:hyperlink>
      <w:r>
        <w:rPr>
          <w:sz w:val="20"/>
        </w:rPr>
        <w:t xml:space="preserve"> and </w:t>
      </w:r>
      <w:hyperlink r:id="rId17" w:history="1">
        <w:r w:rsidRPr="001A2F87">
          <w:rPr>
            <w:rStyle w:val="Hyperlink"/>
            <w:sz w:val="20"/>
          </w:rPr>
          <w:t>WHS</w:t>
        </w:r>
      </w:hyperlink>
      <w:r>
        <w:rPr>
          <w:sz w:val="20"/>
        </w:rPr>
        <w:t xml:space="preserve"> requirements. </w:t>
      </w:r>
    </w:p>
    <w:p w14:paraId="3C80A413" w14:textId="573FF56F" w:rsidR="00836F7A" w:rsidRPr="001A2F87" w:rsidRDefault="00836F7A" w:rsidP="001A2F87">
      <w:pPr>
        <w:pStyle w:val="Heading2"/>
        <w:rPr>
          <w:rFonts w:ascii="Verdana"/>
          <w:color w:val="005C9F"/>
        </w:rPr>
      </w:pPr>
      <w:r w:rsidRPr="001A2F87">
        <w:rPr>
          <w:rFonts w:ascii="Verdana"/>
          <w:color w:val="005C9F"/>
        </w:rPr>
        <w:t>Level Two</w:t>
      </w:r>
    </w:p>
    <w:p w14:paraId="718834BF" w14:textId="0889AA9B" w:rsidR="009E1794" w:rsidRDefault="00A16F2D" w:rsidP="00D62F35">
      <w:pPr>
        <w:pStyle w:val="ListParagraph"/>
        <w:numPr>
          <w:ilvl w:val="1"/>
          <w:numId w:val="1"/>
        </w:numPr>
        <w:tabs>
          <w:tab w:val="left" w:pos="1110"/>
        </w:tabs>
        <w:spacing w:before="116" w:line="213" w:lineRule="auto"/>
        <w:ind w:right="763"/>
        <w:rPr>
          <w:sz w:val="20"/>
        </w:rPr>
      </w:pPr>
      <w:r>
        <w:rPr>
          <w:sz w:val="20"/>
        </w:rPr>
        <w:t>At the direction of the MRCC, the Level Two is required. All processes from Level One are included, however additional staffing may be required.</w:t>
      </w:r>
    </w:p>
    <w:p w14:paraId="1028A3F8" w14:textId="40146637" w:rsidR="00A16F2D" w:rsidRPr="00C07450" w:rsidRDefault="00A16F2D" w:rsidP="00836F7A">
      <w:pPr>
        <w:pStyle w:val="ListParagraph"/>
        <w:numPr>
          <w:ilvl w:val="1"/>
          <w:numId w:val="1"/>
        </w:numPr>
        <w:tabs>
          <w:tab w:val="left" w:pos="1110"/>
        </w:tabs>
        <w:spacing w:before="116" w:line="213" w:lineRule="auto"/>
        <w:ind w:right="763"/>
        <w:rPr>
          <w:sz w:val="20"/>
          <w:highlight w:val="yellow"/>
        </w:rPr>
      </w:pPr>
      <w:r w:rsidRPr="00C07450">
        <w:rPr>
          <w:sz w:val="20"/>
          <w:highlight w:val="yellow"/>
        </w:rPr>
        <w:t xml:space="preserve">(guidance, process for any other Level Two requirements) </w:t>
      </w:r>
    </w:p>
    <w:p w14:paraId="21DED3E4" w14:textId="17075A87" w:rsidR="00836F7A" w:rsidRPr="00A16F2D" w:rsidRDefault="00836F7A" w:rsidP="00A16F2D">
      <w:pPr>
        <w:pStyle w:val="Heading2"/>
        <w:rPr>
          <w:rFonts w:ascii="Verdana"/>
          <w:color w:val="005C9F"/>
        </w:rPr>
      </w:pPr>
      <w:r w:rsidRPr="00A16F2D">
        <w:rPr>
          <w:rFonts w:ascii="Verdana"/>
          <w:color w:val="005C9F"/>
        </w:rPr>
        <w:t>Level Three</w:t>
      </w:r>
    </w:p>
    <w:p w14:paraId="710228CB" w14:textId="0ECFEB58" w:rsidR="00836F7A" w:rsidRPr="00A16F2D" w:rsidRDefault="00A16F2D" w:rsidP="00A16F2D">
      <w:pPr>
        <w:pStyle w:val="ListParagraph"/>
        <w:numPr>
          <w:ilvl w:val="1"/>
          <w:numId w:val="1"/>
        </w:numPr>
        <w:tabs>
          <w:tab w:val="left" w:pos="1109"/>
        </w:tabs>
        <w:spacing w:before="116" w:line="213" w:lineRule="auto"/>
        <w:ind w:right="763"/>
        <w:rPr>
          <w:sz w:val="20"/>
        </w:rPr>
      </w:pPr>
      <w:r w:rsidRPr="00A16F2D">
        <w:rPr>
          <w:sz w:val="20"/>
        </w:rPr>
        <w:t xml:space="preserve">At the direction of the MRCC, the Level Two is required. All processes from Level Two are included, however after-hours staffing may be required. Refer to the CDU SBAR </w:t>
      </w:r>
      <w:r w:rsidRPr="00A16F2D">
        <w:rPr>
          <w:i/>
          <w:iCs/>
          <w:sz w:val="20"/>
        </w:rPr>
        <w:t>Standing-up after-hours Public Health Nursing response to communicable disease</w:t>
      </w:r>
    </w:p>
    <w:p w14:paraId="4052F4E5" w14:textId="20F90CE4" w:rsidR="00D62F35" w:rsidRDefault="00A16F2D" w:rsidP="00AF6CAD">
      <w:pPr>
        <w:pStyle w:val="ListParagraph"/>
        <w:numPr>
          <w:ilvl w:val="1"/>
          <w:numId w:val="1"/>
        </w:numPr>
        <w:tabs>
          <w:tab w:val="left" w:pos="1110"/>
        </w:tabs>
        <w:spacing w:before="120" w:line="213" w:lineRule="auto"/>
        <w:ind w:right="763"/>
        <w:rPr>
          <w:sz w:val="20"/>
          <w:highlight w:val="yellow"/>
        </w:rPr>
      </w:pPr>
      <w:r w:rsidRPr="00C07450">
        <w:rPr>
          <w:sz w:val="20"/>
          <w:highlight w:val="yellow"/>
        </w:rPr>
        <w:t xml:space="preserve">(guidance, process for any other Level Three requirements) </w:t>
      </w:r>
    </w:p>
    <w:p w14:paraId="0E07D021" w14:textId="77777777" w:rsidR="00045D17" w:rsidRDefault="00045D17" w:rsidP="00045D17">
      <w:pPr>
        <w:tabs>
          <w:tab w:val="left" w:pos="1110"/>
        </w:tabs>
        <w:spacing w:before="120" w:line="213" w:lineRule="auto"/>
        <w:ind w:left="544" w:right="763"/>
        <w:rPr>
          <w:sz w:val="20"/>
          <w:highlight w:val="yellow"/>
        </w:rPr>
      </w:pPr>
    </w:p>
    <w:p w14:paraId="09D869A1" w14:textId="53BEE744" w:rsidR="00045D17" w:rsidRPr="00045D17" w:rsidRDefault="00045D17" w:rsidP="00045D17">
      <w:pPr>
        <w:tabs>
          <w:tab w:val="left" w:pos="1110"/>
        </w:tabs>
        <w:spacing w:before="120" w:line="213" w:lineRule="auto"/>
        <w:ind w:left="142" w:right="763"/>
        <w:rPr>
          <w:sz w:val="20"/>
          <w:highlight w:val="yellow"/>
        </w:rPr>
      </w:pPr>
      <w:r>
        <w:rPr>
          <w:sz w:val="20"/>
          <w:highlight w:val="yellow"/>
        </w:rPr>
        <w:t xml:space="preserve">Refer to Appendix for sample table to outline each level by each site in a geo-area. </w:t>
      </w:r>
    </w:p>
    <w:p w14:paraId="7143C075" w14:textId="77777777" w:rsidR="001B1D63" w:rsidRDefault="001B1D63">
      <w:pPr>
        <w:rPr>
          <w:rFonts w:ascii="Verdana"/>
          <w:b/>
          <w:bCs/>
          <w:color w:val="005C9F"/>
          <w:sz w:val="28"/>
          <w:szCs w:val="28"/>
        </w:rPr>
      </w:pPr>
      <w:r>
        <w:rPr>
          <w:rFonts w:ascii="Verdana"/>
          <w:color w:val="005C9F"/>
        </w:rPr>
        <w:br w:type="page"/>
      </w:r>
    </w:p>
    <w:p w14:paraId="20A53C62" w14:textId="4AE5E9B6" w:rsidR="009E1794" w:rsidRDefault="008C7F23" w:rsidP="00AF6CAD">
      <w:pPr>
        <w:pStyle w:val="Heading2"/>
        <w:numPr>
          <w:ilvl w:val="0"/>
          <w:numId w:val="1"/>
        </w:numPr>
        <w:tabs>
          <w:tab w:val="left" w:pos="479"/>
        </w:tabs>
        <w:spacing w:before="120"/>
        <w:ind w:left="479" w:hanging="359"/>
        <w:rPr>
          <w:rFonts w:ascii="Verdana"/>
          <w:color w:val="005C9F"/>
        </w:rPr>
      </w:pPr>
      <w:r>
        <w:rPr>
          <w:rFonts w:ascii="Verdana"/>
          <w:color w:val="005C9F"/>
        </w:rPr>
        <w:lastRenderedPageBreak/>
        <w:t>Specimen Collection Process</w:t>
      </w:r>
    </w:p>
    <w:p w14:paraId="7E0A361E" w14:textId="22514EC5" w:rsidR="009E1794" w:rsidRDefault="008C7F23" w:rsidP="00A16F2D">
      <w:pPr>
        <w:pStyle w:val="ListParagraph"/>
        <w:numPr>
          <w:ilvl w:val="1"/>
          <w:numId w:val="1"/>
        </w:numPr>
        <w:tabs>
          <w:tab w:val="left" w:pos="1109"/>
        </w:tabs>
        <w:spacing w:before="116" w:line="213" w:lineRule="auto"/>
        <w:ind w:right="763"/>
        <w:rPr>
          <w:sz w:val="20"/>
        </w:rPr>
      </w:pPr>
      <w:r>
        <w:rPr>
          <w:sz w:val="20"/>
        </w:rPr>
        <w:t>CDU notifies (</w:t>
      </w:r>
      <w:r w:rsidRPr="00A16F2D">
        <w:rPr>
          <w:sz w:val="20"/>
          <w:highlight w:val="yellow"/>
        </w:rPr>
        <w:t>program</w:t>
      </w:r>
      <w:r>
        <w:rPr>
          <w:sz w:val="20"/>
        </w:rPr>
        <w:t>) if specimen testing</w:t>
      </w:r>
      <w:r w:rsidR="0086340C">
        <w:rPr>
          <w:sz w:val="20"/>
        </w:rPr>
        <w:t xml:space="preserve"> for a specific client</w:t>
      </w:r>
      <w:r>
        <w:rPr>
          <w:sz w:val="20"/>
        </w:rPr>
        <w:t xml:space="preserve"> is required</w:t>
      </w:r>
    </w:p>
    <w:p w14:paraId="47DF5CE1" w14:textId="7234FF59" w:rsidR="008C7F23" w:rsidRDefault="008C7F23" w:rsidP="00A16F2D">
      <w:pPr>
        <w:pStyle w:val="ListParagraph"/>
        <w:numPr>
          <w:ilvl w:val="1"/>
          <w:numId w:val="1"/>
        </w:numPr>
        <w:tabs>
          <w:tab w:val="left" w:pos="1109"/>
        </w:tabs>
        <w:spacing w:before="116" w:line="213" w:lineRule="auto"/>
        <w:ind w:right="763"/>
        <w:rPr>
          <w:sz w:val="20"/>
        </w:rPr>
      </w:pPr>
      <w:r>
        <w:rPr>
          <w:sz w:val="20"/>
        </w:rPr>
        <w:t>(</w:t>
      </w:r>
      <w:r w:rsidRPr="00A16F2D">
        <w:rPr>
          <w:sz w:val="20"/>
          <w:highlight w:val="yellow"/>
        </w:rPr>
        <w:t>Program</w:t>
      </w:r>
      <w:r>
        <w:rPr>
          <w:sz w:val="20"/>
        </w:rPr>
        <w:t>) contacts the client for testing appointment</w:t>
      </w:r>
      <w:r w:rsidR="00D606ED">
        <w:rPr>
          <w:sz w:val="20"/>
        </w:rPr>
        <w:t xml:space="preserve"> and directs client to the measles </w:t>
      </w:r>
      <w:r w:rsidR="0086340C">
        <w:rPr>
          <w:sz w:val="20"/>
        </w:rPr>
        <w:t>specimen collection</w:t>
      </w:r>
      <w:r w:rsidR="00D606ED">
        <w:rPr>
          <w:sz w:val="20"/>
        </w:rPr>
        <w:t xml:space="preserve"> location </w:t>
      </w:r>
      <w:r w:rsidR="00D606ED" w:rsidRPr="00D606ED">
        <w:rPr>
          <w:sz w:val="20"/>
          <w:highlight w:val="yellow"/>
        </w:rPr>
        <w:t xml:space="preserve">(see Level </w:t>
      </w:r>
      <w:r w:rsidR="007D0B1E">
        <w:rPr>
          <w:sz w:val="20"/>
          <w:highlight w:val="yellow"/>
        </w:rPr>
        <w:t>One, Two and Three</w:t>
      </w:r>
      <w:r w:rsidR="00D606ED" w:rsidRPr="00D606ED">
        <w:rPr>
          <w:sz w:val="20"/>
          <w:highlight w:val="yellow"/>
        </w:rPr>
        <w:t xml:space="preserve"> for any differences)</w:t>
      </w:r>
    </w:p>
    <w:p w14:paraId="503E1C49" w14:textId="50AF3AA8" w:rsidR="0086340C" w:rsidRDefault="0086340C" w:rsidP="00A16F2D">
      <w:pPr>
        <w:pStyle w:val="ListParagraph"/>
        <w:numPr>
          <w:ilvl w:val="1"/>
          <w:numId w:val="1"/>
        </w:numPr>
        <w:tabs>
          <w:tab w:val="left" w:pos="1109"/>
        </w:tabs>
        <w:spacing w:before="116" w:line="213" w:lineRule="auto"/>
        <w:ind w:right="763"/>
        <w:rPr>
          <w:sz w:val="20"/>
        </w:rPr>
      </w:pPr>
      <w:r>
        <w:rPr>
          <w:sz w:val="20"/>
        </w:rPr>
        <w:t>Client calls into facility as directed by location signage, and (</w:t>
      </w:r>
      <w:r w:rsidRPr="0086340C">
        <w:rPr>
          <w:sz w:val="20"/>
          <w:highlight w:val="yellow"/>
        </w:rPr>
        <w:t>program admin</w:t>
      </w:r>
      <w:r>
        <w:rPr>
          <w:sz w:val="20"/>
        </w:rPr>
        <w:t xml:space="preserve">) confirms client demographics.  </w:t>
      </w:r>
    </w:p>
    <w:p w14:paraId="15B7C615" w14:textId="4092867C" w:rsidR="001A2F87" w:rsidRDefault="00D606ED" w:rsidP="00A16F2D">
      <w:pPr>
        <w:pStyle w:val="ListParagraph"/>
        <w:numPr>
          <w:ilvl w:val="1"/>
          <w:numId w:val="1"/>
        </w:numPr>
        <w:tabs>
          <w:tab w:val="left" w:pos="1109"/>
        </w:tabs>
        <w:spacing w:before="116" w:line="213" w:lineRule="auto"/>
        <w:ind w:right="763"/>
        <w:rPr>
          <w:sz w:val="20"/>
        </w:rPr>
      </w:pPr>
      <w:r>
        <w:rPr>
          <w:sz w:val="20"/>
        </w:rPr>
        <w:t>(</w:t>
      </w:r>
      <w:r w:rsidRPr="00A16F2D">
        <w:rPr>
          <w:sz w:val="20"/>
          <w:highlight w:val="yellow"/>
        </w:rPr>
        <w:t>HCP</w:t>
      </w:r>
      <w:r>
        <w:rPr>
          <w:sz w:val="20"/>
        </w:rPr>
        <w:t xml:space="preserve">) </w:t>
      </w:r>
      <w:r w:rsidR="001A2F87">
        <w:rPr>
          <w:sz w:val="20"/>
        </w:rPr>
        <w:t xml:space="preserve">explains the specimen collection process, ensures consent, and </w:t>
      </w:r>
      <w:r>
        <w:rPr>
          <w:sz w:val="20"/>
        </w:rPr>
        <w:t>collects NP swab</w:t>
      </w:r>
      <w:r w:rsidR="001A2F87">
        <w:rPr>
          <w:sz w:val="20"/>
        </w:rPr>
        <w:t xml:space="preserve">. </w:t>
      </w:r>
    </w:p>
    <w:p w14:paraId="7332D14A" w14:textId="1CC391A9" w:rsidR="00D606ED" w:rsidRDefault="001A2F87" w:rsidP="00A16F2D">
      <w:pPr>
        <w:pStyle w:val="ListParagraph"/>
        <w:numPr>
          <w:ilvl w:val="1"/>
          <w:numId w:val="1"/>
        </w:numPr>
        <w:tabs>
          <w:tab w:val="left" w:pos="1109"/>
        </w:tabs>
        <w:spacing w:before="116" w:line="213" w:lineRule="auto"/>
        <w:ind w:right="763"/>
        <w:rPr>
          <w:sz w:val="20"/>
        </w:rPr>
      </w:pPr>
      <w:r>
        <w:rPr>
          <w:sz w:val="20"/>
        </w:rPr>
        <w:t>(</w:t>
      </w:r>
      <w:r w:rsidRPr="001A2F87">
        <w:rPr>
          <w:sz w:val="20"/>
          <w:highlight w:val="yellow"/>
        </w:rPr>
        <w:t>HCP</w:t>
      </w:r>
      <w:r>
        <w:rPr>
          <w:sz w:val="20"/>
        </w:rPr>
        <w:t>)</w:t>
      </w:r>
      <w:r w:rsidR="00D606ED">
        <w:rPr>
          <w:sz w:val="20"/>
        </w:rPr>
        <w:t xml:space="preserve"> provides urine container and instructions to client on collection and return of specimen</w:t>
      </w:r>
    </w:p>
    <w:p w14:paraId="3BBF2B49" w14:textId="1F0D38F1" w:rsidR="00A16F2D" w:rsidRDefault="00A16F2D" w:rsidP="00A16F2D">
      <w:pPr>
        <w:pStyle w:val="ListParagraph"/>
        <w:numPr>
          <w:ilvl w:val="1"/>
          <w:numId w:val="1"/>
        </w:numPr>
        <w:tabs>
          <w:tab w:val="left" w:pos="1109"/>
        </w:tabs>
        <w:spacing w:before="116" w:line="213" w:lineRule="auto"/>
        <w:ind w:right="763"/>
        <w:rPr>
          <w:sz w:val="20"/>
        </w:rPr>
      </w:pPr>
      <w:r>
        <w:rPr>
          <w:sz w:val="20"/>
        </w:rPr>
        <w:t>(</w:t>
      </w:r>
      <w:r w:rsidRPr="00A16F2D">
        <w:rPr>
          <w:sz w:val="20"/>
          <w:highlight w:val="yellow"/>
        </w:rPr>
        <w:t>HCP</w:t>
      </w:r>
      <w:r>
        <w:rPr>
          <w:sz w:val="20"/>
        </w:rPr>
        <w:t xml:space="preserve">) ensures specimen is correctly labelled and transfers specimen to laboratory through the specimen pick-up process (see </w:t>
      </w:r>
      <w:hyperlink r:id="rId18" w:history="1">
        <w:r w:rsidRPr="00A16F2D">
          <w:rPr>
            <w:rStyle w:val="Hyperlink"/>
            <w:sz w:val="20"/>
          </w:rPr>
          <w:t>Lab guidance</w:t>
        </w:r>
      </w:hyperlink>
      <w:r>
        <w:rPr>
          <w:sz w:val="20"/>
        </w:rPr>
        <w:t xml:space="preserve"> for details)</w:t>
      </w:r>
    </w:p>
    <w:p w14:paraId="586118BE" w14:textId="07EBA437" w:rsidR="00D606ED" w:rsidRDefault="00D606ED" w:rsidP="00A16F2D">
      <w:pPr>
        <w:pStyle w:val="ListParagraph"/>
        <w:numPr>
          <w:ilvl w:val="1"/>
          <w:numId w:val="1"/>
        </w:numPr>
        <w:tabs>
          <w:tab w:val="left" w:pos="1109"/>
        </w:tabs>
        <w:spacing w:before="116" w:line="213" w:lineRule="auto"/>
        <w:ind w:right="763"/>
        <w:rPr>
          <w:sz w:val="20"/>
        </w:rPr>
      </w:pPr>
      <w:r>
        <w:rPr>
          <w:sz w:val="20"/>
        </w:rPr>
        <w:t>Client returns specimen</w:t>
      </w:r>
      <w:r w:rsidR="00A16F2D">
        <w:rPr>
          <w:sz w:val="20"/>
        </w:rPr>
        <w:t xml:space="preserve"> to (</w:t>
      </w:r>
      <w:r w:rsidR="00A16F2D" w:rsidRPr="00A16F2D">
        <w:rPr>
          <w:sz w:val="20"/>
          <w:highlight w:val="yellow"/>
        </w:rPr>
        <w:t>location</w:t>
      </w:r>
      <w:r w:rsidR="00A16F2D">
        <w:rPr>
          <w:sz w:val="20"/>
        </w:rPr>
        <w:t>), places in (</w:t>
      </w:r>
      <w:r w:rsidR="00A16F2D" w:rsidRPr="00A16F2D">
        <w:rPr>
          <w:sz w:val="20"/>
          <w:highlight w:val="yellow"/>
        </w:rPr>
        <w:t>drop box</w:t>
      </w:r>
      <w:r w:rsidR="00A16F2D">
        <w:rPr>
          <w:sz w:val="20"/>
        </w:rPr>
        <w:t>), and texts/calls (</w:t>
      </w:r>
      <w:r w:rsidR="00A16F2D" w:rsidRPr="00A16F2D">
        <w:rPr>
          <w:sz w:val="20"/>
          <w:highlight w:val="yellow"/>
        </w:rPr>
        <w:t>program</w:t>
      </w:r>
      <w:r w:rsidR="00A16F2D">
        <w:rPr>
          <w:sz w:val="20"/>
        </w:rPr>
        <w:t>) to notify the specimen has been dropped off</w:t>
      </w:r>
    </w:p>
    <w:p w14:paraId="525C294C" w14:textId="62728C4A" w:rsidR="009E1794" w:rsidRDefault="00A16F2D" w:rsidP="00AF6CAD">
      <w:pPr>
        <w:pStyle w:val="ListParagraph"/>
        <w:numPr>
          <w:ilvl w:val="1"/>
          <w:numId w:val="1"/>
        </w:numPr>
        <w:tabs>
          <w:tab w:val="left" w:pos="1109"/>
        </w:tabs>
        <w:spacing w:before="120" w:line="213" w:lineRule="auto"/>
        <w:ind w:right="763"/>
        <w:rPr>
          <w:sz w:val="20"/>
        </w:rPr>
      </w:pPr>
      <w:r>
        <w:rPr>
          <w:sz w:val="20"/>
        </w:rPr>
        <w:t>(</w:t>
      </w:r>
      <w:r w:rsidRPr="00A16F2D">
        <w:rPr>
          <w:sz w:val="20"/>
          <w:highlight w:val="yellow"/>
        </w:rPr>
        <w:t>HCP</w:t>
      </w:r>
      <w:r>
        <w:rPr>
          <w:sz w:val="20"/>
        </w:rPr>
        <w:t xml:space="preserve">) checks that urine specimen is correctly labelled and transfers specimen to laboratory </w:t>
      </w:r>
      <w:bookmarkStart w:id="0" w:name="_Hlk203051917"/>
      <w:r>
        <w:rPr>
          <w:sz w:val="20"/>
        </w:rPr>
        <w:t xml:space="preserve">through the specimen pick-up process (see </w:t>
      </w:r>
      <w:hyperlink r:id="rId19" w:history="1">
        <w:r w:rsidR="001A2F87">
          <w:rPr>
            <w:rStyle w:val="Hyperlink"/>
            <w:sz w:val="20"/>
          </w:rPr>
          <w:t>lab guidance</w:t>
        </w:r>
      </w:hyperlink>
      <w:r>
        <w:rPr>
          <w:sz w:val="20"/>
        </w:rPr>
        <w:t xml:space="preserve"> for details)</w:t>
      </w:r>
      <w:bookmarkEnd w:id="0"/>
    </w:p>
    <w:p w14:paraId="22C43911" w14:textId="0DEDD8A4" w:rsidR="009E1794" w:rsidRDefault="00D70C41" w:rsidP="00AF6CAD">
      <w:pPr>
        <w:pStyle w:val="Heading2"/>
        <w:numPr>
          <w:ilvl w:val="0"/>
          <w:numId w:val="1"/>
        </w:numPr>
        <w:tabs>
          <w:tab w:val="left" w:pos="479"/>
        </w:tabs>
        <w:spacing w:before="120"/>
        <w:ind w:left="479" w:hanging="359"/>
        <w:rPr>
          <w:rFonts w:ascii="Verdana"/>
          <w:color w:val="005C9F"/>
        </w:rPr>
      </w:pPr>
      <w:r>
        <w:rPr>
          <w:rFonts w:ascii="Verdana"/>
          <w:color w:val="005C9F"/>
        </w:rPr>
        <w:t>Standing Down the Specimen Collection Location</w:t>
      </w:r>
    </w:p>
    <w:p w14:paraId="5CCE0895" w14:textId="5EA651F7" w:rsidR="009E1794" w:rsidRDefault="00836F7A" w:rsidP="00A16F2D">
      <w:pPr>
        <w:pStyle w:val="ListParagraph"/>
        <w:numPr>
          <w:ilvl w:val="1"/>
          <w:numId w:val="1"/>
        </w:numPr>
        <w:spacing w:before="116" w:line="213" w:lineRule="auto"/>
        <w:ind w:right="763"/>
        <w:rPr>
          <w:sz w:val="20"/>
        </w:rPr>
      </w:pPr>
      <w:r>
        <w:rPr>
          <w:sz w:val="20"/>
        </w:rPr>
        <w:t xml:space="preserve">Specimen collection site locations will stand down at the direction of the MRCC, with Medical Health Officer guidance. </w:t>
      </w:r>
    </w:p>
    <w:p w14:paraId="6F0896D6" w14:textId="5CC7BCF1" w:rsidR="00836F7A" w:rsidRDefault="005E29A0" w:rsidP="00A16F2D">
      <w:pPr>
        <w:pStyle w:val="ListParagraph"/>
        <w:numPr>
          <w:ilvl w:val="1"/>
          <w:numId w:val="1"/>
        </w:numPr>
        <w:spacing w:before="116" w:line="213" w:lineRule="auto"/>
        <w:ind w:right="763"/>
        <w:rPr>
          <w:sz w:val="20"/>
        </w:rPr>
      </w:pPr>
      <w:r>
        <w:rPr>
          <w:sz w:val="20"/>
        </w:rPr>
        <w:t>(</w:t>
      </w:r>
      <w:r w:rsidRPr="0086340C">
        <w:rPr>
          <w:sz w:val="20"/>
          <w:highlight w:val="yellow"/>
        </w:rPr>
        <w:t>Program</w:t>
      </w:r>
      <w:r>
        <w:rPr>
          <w:sz w:val="20"/>
        </w:rPr>
        <w:t>) initiates stand-down activities</w:t>
      </w:r>
      <w:r w:rsidR="009B0D3F">
        <w:rPr>
          <w:sz w:val="20"/>
        </w:rPr>
        <w:t>.</w:t>
      </w:r>
    </w:p>
    <w:p w14:paraId="4FDEEFA6" w14:textId="30B25E87" w:rsidR="005E29A0" w:rsidRDefault="0086340C" w:rsidP="00A16F2D">
      <w:pPr>
        <w:pStyle w:val="ListParagraph"/>
        <w:numPr>
          <w:ilvl w:val="1"/>
          <w:numId w:val="1"/>
        </w:numPr>
        <w:spacing w:before="116" w:line="213" w:lineRule="auto"/>
        <w:ind w:right="763"/>
        <w:rPr>
          <w:sz w:val="20"/>
        </w:rPr>
      </w:pPr>
      <w:r>
        <w:rPr>
          <w:sz w:val="20"/>
        </w:rPr>
        <w:t>Debrief session scheduled to learn from experiences and check on team’s psychological health</w:t>
      </w:r>
    </w:p>
    <w:p w14:paraId="35680431" w14:textId="77777777" w:rsidR="009E1794" w:rsidRDefault="009E1794">
      <w:pPr>
        <w:pStyle w:val="BodyText"/>
        <w:spacing w:before="183"/>
      </w:pPr>
    </w:p>
    <w:p w14:paraId="250D2583" w14:textId="09A1BEB1" w:rsidR="00045D17" w:rsidRDefault="00045D17">
      <w:pPr>
        <w:rPr>
          <w:rFonts w:ascii="Verdana"/>
          <w:sz w:val="13"/>
          <w:szCs w:val="20"/>
        </w:rPr>
      </w:pPr>
      <w:r>
        <w:rPr>
          <w:rFonts w:ascii="Verdana"/>
          <w:sz w:val="13"/>
        </w:rPr>
        <w:br w:type="page"/>
      </w:r>
    </w:p>
    <w:p w14:paraId="1D1D2FAB" w14:textId="77777777" w:rsidR="009E1794" w:rsidRDefault="009E1794">
      <w:pPr>
        <w:pStyle w:val="BodyText"/>
        <w:rPr>
          <w:rFonts w:ascii="Verdana"/>
          <w:sz w:val="13"/>
        </w:rPr>
      </w:pPr>
    </w:p>
    <w:p w14:paraId="2CE09FE1" w14:textId="6ACC182B" w:rsidR="009E1794" w:rsidRDefault="00045D17">
      <w:pPr>
        <w:pStyle w:val="BodyText"/>
        <w:rPr>
          <w:rFonts w:ascii="Verdana"/>
          <w:sz w:val="13"/>
        </w:rPr>
      </w:pPr>
      <w:r>
        <w:rPr>
          <w:rFonts w:ascii="Verdana"/>
          <w:b/>
          <w:bCs/>
          <w:color w:val="005C9F"/>
          <w:sz w:val="28"/>
          <w:szCs w:val="28"/>
        </w:rPr>
        <w:t xml:space="preserve">Appendix: Level Responses for Sites in </w:t>
      </w:r>
      <w:r w:rsidRPr="00045D17">
        <w:rPr>
          <w:rFonts w:ascii="Verdana"/>
          <w:b/>
          <w:bCs/>
          <w:color w:val="005C9F"/>
          <w:sz w:val="28"/>
          <w:szCs w:val="28"/>
          <w:highlight w:val="yellow"/>
        </w:rPr>
        <w:t>(area)</w:t>
      </w:r>
    </w:p>
    <w:p w14:paraId="4062400C" w14:textId="77777777" w:rsidR="009E1794" w:rsidRDefault="009E1794">
      <w:pPr>
        <w:pStyle w:val="BodyText"/>
        <w:rPr>
          <w:rFonts w:ascii="Verdana"/>
          <w:sz w:val="13"/>
        </w:rPr>
      </w:pPr>
    </w:p>
    <w:p w14:paraId="143FE6E0" w14:textId="77777777" w:rsidR="009E1794" w:rsidRDefault="009E1794">
      <w:pPr>
        <w:pStyle w:val="BodyText"/>
        <w:rPr>
          <w:rFonts w:ascii="Verdana"/>
          <w:sz w:val="13"/>
        </w:rPr>
      </w:pPr>
    </w:p>
    <w:tbl>
      <w:tblPr>
        <w:tblStyle w:val="TableGrid"/>
        <w:tblW w:w="0" w:type="auto"/>
        <w:tblLook w:val="04A0" w:firstRow="1" w:lastRow="0" w:firstColumn="1" w:lastColumn="0" w:noHBand="0" w:noVBand="1"/>
      </w:tblPr>
      <w:tblGrid>
        <w:gridCol w:w="1413"/>
        <w:gridCol w:w="2977"/>
        <w:gridCol w:w="2976"/>
        <w:gridCol w:w="2944"/>
      </w:tblGrid>
      <w:tr w:rsidR="00045D17" w14:paraId="46A6C928" w14:textId="77777777" w:rsidTr="00045D17">
        <w:tc>
          <w:tcPr>
            <w:tcW w:w="1413" w:type="dxa"/>
          </w:tcPr>
          <w:p w14:paraId="32600023" w14:textId="7362F995" w:rsidR="00045D17" w:rsidRPr="00045D17" w:rsidRDefault="00045D17" w:rsidP="00045D17">
            <w:pPr>
              <w:pStyle w:val="BodyText"/>
              <w:spacing w:before="144"/>
              <w:rPr>
                <w:rFonts w:ascii="Verdana"/>
              </w:rPr>
            </w:pPr>
            <w:r>
              <w:rPr>
                <w:rFonts w:ascii="Verdana"/>
              </w:rPr>
              <w:t>(Area) sites</w:t>
            </w:r>
          </w:p>
        </w:tc>
        <w:tc>
          <w:tcPr>
            <w:tcW w:w="2977" w:type="dxa"/>
          </w:tcPr>
          <w:p w14:paraId="73F694CA" w14:textId="77777777" w:rsidR="00045D17" w:rsidRPr="00045D17" w:rsidRDefault="00045D17" w:rsidP="00045D17">
            <w:pPr>
              <w:rPr>
                <w:b/>
                <w:bCs/>
                <w:sz w:val="20"/>
                <w:szCs w:val="20"/>
              </w:rPr>
            </w:pPr>
            <w:r w:rsidRPr="00045D17">
              <w:rPr>
                <w:b/>
                <w:bCs/>
                <w:sz w:val="20"/>
                <w:szCs w:val="20"/>
              </w:rPr>
              <w:t xml:space="preserve">Able to Support Level 1 MHO-Directed Community Specimen Collection?  </w:t>
            </w:r>
          </w:p>
          <w:p w14:paraId="55B6FFEB" w14:textId="77777777" w:rsidR="00045D17" w:rsidRPr="00045D17" w:rsidRDefault="00045D17" w:rsidP="00045D17">
            <w:pPr>
              <w:pStyle w:val="ListParagraph"/>
              <w:widowControl/>
              <w:numPr>
                <w:ilvl w:val="0"/>
                <w:numId w:val="5"/>
              </w:numPr>
              <w:autoSpaceDE/>
              <w:autoSpaceDN/>
              <w:spacing w:before="0"/>
              <w:contextualSpacing/>
              <w:rPr>
                <w:i/>
                <w:iCs/>
                <w:sz w:val="20"/>
                <w:szCs w:val="20"/>
              </w:rPr>
            </w:pPr>
            <w:r w:rsidRPr="00045D17">
              <w:rPr>
                <w:i/>
                <w:iCs/>
                <w:sz w:val="20"/>
                <w:szCs w:val="20"/>
              </w:rPr>
              <w:t xml:space="preserve">Collection Available by appointment during regular business hours (8:30-4:30) </w:t>
            </w:r>
          </w:p>
          <w:p w14:paraId="6884C1FF" w14:textId="77777777" w:rsidR="00045D17" w:rsidRPr="00045D17" w:rsidRDefault="00045D17" w:rsidP="00045D17">
            <w:pPr>
              <w:pStyle w:val="ListParagraph"/>
              <w:widowControl/>
              <w:numPr>
                <w:ilvl w:val="0"/>
                <w:numId w:val="5"/>
              </w:numPr>
              <w:autoSpaceDE/>
              <w:autoSpaceDN/>
              <w:spacing w:before="0"/>
              <w:contextualSpacing/>
              <w:rPr>
                <w:i/>
                <w:iCs/>
                <w:sz w:val="20"/>
                <w:szCs w:val="20"/>
              </w:rPr>
            </w:pPr>
            <w:r w:rsidRPr="00045D17">
              <w:rPr>
                <w:i/>
                <w:iCs/>
                <w:sz w:val="20"/>
                <w:szCs w:val="20"/>
              </w:rPr>
              <w:t xml:space="preserve">Extended hours and days may be available (if the collection location is a UPCC) </w:t>
            </w:r>
          </w:p>
          <w:p w14:paraId="27F207D9" w14:textId="4813357E" w:rsidR="00045D17" w:rsidRPr="00045D17" w:rsidRDefault="00045D17" w:rsidP="00045D17">
            <w:pPr>
              <w:pStyle w:val="BodyText"/>
              <w:spacing w:before="144"/>
              <w:rPr>
                <w:rFonts w:ascii="Verdana"/>
              </w:rPr>
            </w:pPr>
            <w:r w:rsidRPr="00045D17">
              <w:rPr>
                <w:i/>
                <w:iCs/>
              </w:rPr>
              <w:t>Dedicated collection nurse not required if appointments can be managed with baseline staffing</w:t>
            </w:r>
            <w:r w:rsidRPr="00045D17">
              <w:t xml:space="preserve"> </w:t>
            </w:r>
          </w:p>
        </w:tc>
        <w:tc>
          <w:tcPr>
            <w:tcW w:w="2976" w:type="dxa"/>
          </w:tcPr>
          <w:p w14:paraId="23F80528" w14:textId="77777777" w:rsidR="00045D17" w:rsidRPr="00045D17" w:rsidRDefault="00045D17" w:rsidP="00045D17">
            <w:pPr>
              <w:rPr>
                <w:b/>
                <w:bCs/>
                <w:sz w:val="20"/>
                <w:szCs w:val="20"/>
              </w:rPr>
            </w:pPr>
            <w:r w:rsidRPr="00045D17">
              <w:rPr>
                <w:b/>
                <w:bCs/>
                <w:sz w:val="20"/>
                <w:szCs w:val="20"/>
              </w:rPr>
              <w:t xml:space="preserve">Able to Support Level 2 MHO-Directed Community Specimen Collection?  </w:t>
            </w:r>
          </w:p>
          <w:p w14:paraId="7CEA95F6" w14:textId="77777777" w:rsidR="00045D17" w:rsidRPr="00045D17" w:rsidRDefault="00045D17" w:rsidP="00045D17">
            <w:pPr>
              <w:rPr>
                <w:sz w:val="20"/>
                <w:szCs w:val="20"/>
              </w:rPr>
            </w:pPr>
          </w:p>
          <w:p w14:paraId="4E87F4AE" w14:textId="77777777" w:rsidR="00045D17" w:rsidRPr="00045D17" w:rsidRDefault="00045D17" w:rsidP="00045D17">
            <w:pPr>
              <w:pStyle w:val="ListParagraph"/>
              <w:widowControl/>
              <w:numPr>
                <w:ilvl w:val="0"/>
                <w:numId w:val="6"/>
              </w:numPr>
              <w:autoSpaceDE/>
              <w:autoSpaceDN/>
              <w:spacing w:before="0"/>
              <w:contextualSpacing/>
              <w:rPr>
                <w:sz w:val="20"/>
                <w:szCs w:val="20"/>
              </w:rPr>
            </w:pPr>
            <w:r w:rsidRPr="00045D17">
              <w:rPr>
                <w:sz w:val="20"/>
                <w:szCs w:val="20"/>
              </w:rPr>
              <w:t xml:space="preserve">As for Level One with additional appointments during regular business hours </w:t>
            </w:r>
          </w:p>
          <w:p w14:paraId="50C289DB" w14:textId="77777777" w:rsidR="00045D17" w:rsidRPr="00045D17" w:rsidRDefault="00045D17" w:rsidP="00045D17">
            <w:pPr>
              <w:pStyle w:val="ListParagraph"/>
              <w:widowControl/>
              <w:numPr>
                <w:ilvl w:val="0"/>
                <w:numId w:val="6"/>
              </w:numPr>
              <w:autoSpaceDE/>
              <w:autoSpaceDN/>
              <w:spacing w:before="0"/>
              <w:contextualSpacing/>
              <w:rPr>
                <w:sz w:val="20"/>
                <w:szCs w:val="20"/>
              </w:rPr>
            </w:pPr>
            <w:r w:rsidRPr="00045D17">
              <w:rPr>
                <w:sz w:val="20"/>
                <w:szCs w:val="20"/>
              </w:rPr>
              <w:t xml:space="preserve">Extended Hours and days may be available if the collection location is a UPCC </w:t>
            </w:r>
          </w:p>
          <w:p w14:paraId="0B23CE1A" w14:textId="522F7DCF" w:rsidR="00045D17" w:rsidRPr="00045D17" w:rsidRDefault="00045D17" w:rsidP="00045D17">
            <w:pPr>
              <w:pStyle w:val="BodyText"/>
              <w:spacing w:before="144"/>
              <w:rPr>
                <w:rFonts w:ascii="Verdana"/>
              </w:rPr>
            </w:pPr>
            <w:r w:rsidRPr="00045D17">
              <w:t xml:space="preserve">Dedicated nurses may be required to meet demand </w:t>
            </w:r>
          </w:p>
        </w:tc>
        <w:tc>
          <w:tcPr>
            <w:tcW w:w="2944" w:type="dxa"/>
          </w:tcPr>
          <w:p w14:paraId="02FA5395" w14:textId="77777777" w:rsidR="00045D17" w:rsidRPr="00045D17" w:rsidRDefault="00045D17" w:rsidP="00045D17">
            <w:pPr>
              <w:rPr>
                <w:b/>
                <w:bCs/>
                <w:sz w:val="20"/>
                <w:szCs w:val="20"/>
              </w:rPr>
            </w:pPr>
            <w:r w:rsidRPr="00045D17">
              <w:rPr>
                <w:b/>
                <w:bCs/>
                <w:sz w:val="20"/>
                <w:szCs w:val="20"/>
              </w:rPr>
              <w:t xml:space="preserve">Able to Support Level 3 MHO-Directed Community Specimen Collection?  </w:t>
            </w:r>
          </w:p>
          <w:p w14:paraId="58652563" w14:textId="77777777" w:rsidR="00045D17" w:rsidRPr="00045D17" w:rsidRDefault="00045D17" w:rsidP="00045D17">
            <w:pPr>
              <w:ind w:left="360"/>
              <w:rPr>
                <w:sz w:val="20"/>
                <w:szCs w:val="20"/>
              </w:rPr>
            </w:pPr>
          </w:p>
          <w:p w14:paraId="3B5831E4" w14:textId="77777777" w:rsidR="00045D17" w:rsidRPr="00045D17" w:rsidRDefault="00045D17" w:rsidP="00045D17">
            <w:pPr>
              <w:pStyle w:val="ListParagraph"/>
              <w:widowControl/>
              <w:numPr>
                <w:ilvl w:val="0"/>
                <w:numId w:val="7"/>
              </w:numPr>
              <w:autoSpaceDE/>
              <w:autoSpaceDN/>
              <w:spacing w:before="0"/>
              <w:contextualSpacing/>
              <w:rPr>
                <w:sz w:val="20"/>
                <w:szCs w:val="20"/>
              </w:rPr>
            </w:pPr>
            <w:r w:rsidRPr="00045D17">
              <w:rPr>
                <w:sz w:val="20"/>
                <w:szCs w:val="20"/>
              </w:rPr>
              <w:t xml:space="preserve">As for Level Two with service expanded to evenings and weekends </w:t>
            </w:r>
          </w:p>
          <w:p w14:paraId="77A66CBF" w14:textId="417ECA06" w:rsidR="00045D17" w:rsidRPr="00045D17" w:rsidRDefault="00045D17" w:rsidP="00045D17">
            <w:pPr>
              <w:pStyle w:val="BodyText"/>
              <w:spacing w:before="144"/>
              <w:rPr>
                <w:rFonts w:ascii="Verdana"/>
              </w:rPr>
            </w:pPr>
            <w:r w:rsidRPr="00045D17">
              <w:t>A tent may be required to accommodate anticipated volume</w:t>
            </w:r>
          </w:p>
        </w:tc>
      </w:tr>
      <w:tr w:rsidR="00045D17" w14:paraId="5B16B02E" w14:textId="77777777" w:rsidTr="00045D17">
        <w:tc>
          <w:tcPr>
            <w:tcW w:w="1413" w:type="dxa"/>
          </w:tcPr>
          <w:p w14:paraId="5233D04F" w14:textId="5311DD25" w:rsidR="00045D17" w:rsidRDefault="00045D17" w:rsidP="00045D17">
            <w:pPr>
              <w:pStyle w:val="BodyText"/>
              <w:spacing w:before="144"/>
            </w:pPr>
            <w:r w:rsidRPr="00045D17">
              <w:rPr>
                <w:highlight w:val="yellow"/>
              </w:rPr>
              <w:t>(Site 1)</w:t>
            </w:r>
          </w:p>
          <w:p w14:paraId="077FE16C" w14:textId="3A12A1F6" w:rsidR="00045D17" w:rsidRPr="00045D17" w:rsidRDefault="00045D17" w:rsidP="00045D17">
            <w:pPr>
              <w:pStyle w:val="BodyText"/>
              <w:spacing w:before="144"/>
            </w:pPr>
          </w:p>
        </w:tc>
        <w:tc>
          <w:tcPr>
            <w:tcW w:w="2977" w:type="dxa"/>
          </w:tcPr>
          <w:p w14:paraId="4FF79033" w14:textId="35CF6E29" w:rsidR="00045D17" w:rsidRPr="00045D17" w:rsidRDefault="00045D17" w:rsidP="00045D17">
            <w:pPr>
              <w:pStyle w:val="BodyText"/>
              <w:spacing w:before="144"/>
              <w:jc w:val="center"/>
            </w:pPr>
            <w:r>
              <w:t>Yes/No</w:t>
            </w:r>
          </w:p>
        </w:tc>
        <w:tc>
          <w:tcPr>
            <w:tcW w:w="2976" w:type="dxa"/>
          </w:tcPr>
          <w:p w14:paraId="6763D58F" w14:textId="0480646C" w:rsidR="00045D17" w:rsidRPr="00045D17" w:rsidRDefault="00045D17" w:rsidP="00045D17">
            <w:pPr>
              <w:pStyle w:val="BodyText"/>
              <w:spacing w:before="144"/>
              <w:jc w:val="center"/>
            </w:pPr>
            <w:r w:rsidRPr="00FB2847">
              <w:t>Yes/No</w:t>
            </w:r>
          </w:p>
        </w:tc>
        <w:tc>
          <w:tcPr>
            <w:tcW w:w="2944" w:type="dxa"/>
          </w:tcPr>
          <w:p w14:paraId="7C04B167" w14:textId="046F7B80" w:rsidR="00045D17" w:rsidRPr="00045D17" w:rsidRDefault="00045D17" w:rsidP="00045D17">
            <w:pPr>
              <w:pStyle w:val="BodyText"/>
              <w:spacing w:before="144"/>
              <w:jc w:val="center"/>
            </w:pPr>
            <w:r w:rsidRPr="00FB2847">
              <w:t>Yes/No</w:t>
            </w:r>
          </w:p>
        </w:tc>
      </w:tr>
      <w:tr w:rsidR="00045D17" w14:paraId="0B53ACFA" w14:textId="77777777" w:rsidTr="00045D17">
        <w:tc>
          <w:tcPr>
            <w:tcW w:w="1413" w:type="dxa"/>
          </w:tcPr>
          <w:p w14:paraId="790205AB" w14:textId="50B738C2" w:rsidR="00045D17" w:rsidRDefault="00045D17" w:rsidP="00045D17">
            <w:pPr>
              <w:pStyle w:val="BodyText"/>
              <w:spacing w:before="144"/>
            </w:pPr>
            <w:r w:rsidRPr="00045D17">
              <w:rPr>
                <w:highlight w:val="yellow"/>
              </w:rPr>
              <w:t xml:space="preserve">(Site </w:t>
            </w:r>
            <w:r>
              <w:rPr>
                <w:highlight w:val="yellow"/>
              </w:rPr>
              <w:t>2</w:t>
            </w:r>
            <w:r w:rsidRPr="00045D17">
              <w:rPr>
                <w:highlight w:val="yellow"/>
              </w:rPr>
              <w:t>)</w:t>
            </w:r>
          </w:p>
          <w:p w14:paraId="1071C6FB" w14:textId="77777777" w:rsidR="00045D17" w:rsidRPr="00045D17" w:rsidRDefault="00045D17" w:rsidP="00045D17">
            <w:pPr>
              <w:pStyle w:val="BodyText"/>
              <w:spacing w:before="144"/>
            </w:pPr>
          </w:p>
        </w:tc>
        <w:tc>
          <w:tcPr>
            <w:tcW w:w="2977" w:type="dxa"/>
          </w:tcPr>
          <w:p w14:paraId="77EB3EBB" w14:textId="40808A8D" w:rsidR="00045D17" w:rsidRPr="00045D17" w:rsidRDefault="00045D17" w:rsidP="00045D17">
            <w:pPr>
              <w:pStyle w:val="BodyText"/>
              <w:spacing w:before="144"/>
              <w:jc w:val="center"/>
            </w:pPr>
            <w:r>
              <w:t>Yes/No</w:t>
            </w:r>
          </w:p>
        </w:tc>
        <w:tc>
          <w:tcPr>
            <w:tcW w:w="2976" w:type="dxa"/>
          </w:tcPr>
          <w:p w14:paraId="16D28AF1" w14:textId="4C992A46" w:rsidR="00045D17" w:rsidRPr="00045D17" w:rsidRDefault="00045D17" w:rsidP="00045D17">
            <w:pPr>
              <w:pStyle w:val="BodyText"/>
              <w:spacing w:before="144"/>
              <w:jc w:val="center"/>
            </w:pPr>
            <w:r w:rsidRPr="00FB2847">
              <w:t>Yes/No</w:t>
            </w:r>
          </w:p>
        </w:tc>
        <w:tc>
          <w:tcPr>
            <w:tcW w:w="2944" w:type="dxa"/>
          </w:tcPr>
          <w:p w14:paraId="2628EE88" w14:textId="43E18C2E" w:rsidR="00045D17" w:rsidRPr="00045D17" w:rsidRDefault="00045D17" w:rsidP="00045D17">
            <w:pPr>
              <w:pStyle w:val="BodyText"/>
              <w:spacing w:before="144"/>
              <w:jc w:val="center"/>
            </w:pPr>
            <w:r w:rsidRPr="00FB2847">
              <w:t>Yes/No</w:t>
            </w:r>
          </w:p>
        </w:tc>
      </w:tr>
      <w:tr w:rsidR="00045D17" w14:paraId="29114A89" w14:textId="77777777" w:rsidTr="00045D17">
        <w:tc>
          <w:tcPr>
            <w:tcW w:w="1413" w:type="dxa"/>
          </w:tcPr>
          <w:p w14:paraId="5DA06D20" w14:textId="1E216E04" w:rsidR="00045D17" w:rsidRDefault="00045D17" w:rsidP="00045D17">
            <w:pPr>
              <w:pStyle w:val="BodyText"/>
              <w:spacing w:before="144"/>
            </w:pPr>
            <w:r w:rsidRPr="00045D17">
              <w:rPr>
                <w:highlight w:val="yellow"/>
              </w:rPr>
              <w:t xml:space="preserve">(Site </w:t>
            </w:r>
            <w:r>
              <w:rPr>
                <w:highlight w:val="yellow"/>
              </w:rPr>
              <w:t>3</w:t>
            </w:r>
            <w:r w:rsidRPr="00045D17">
              <w:rPr>
                <w:highlight w:val="yellow"/>
              </w:rPr>
              <w:t>)</w:t>
            </w:r>
          </w:p>
          <w:p w14:paraId="241FB6EF" w14:textId="77777777" w:rsidR="00045D17" w:rsidRPr="00045D17" w:rsidRDefault="00045D17" w:rsidP="00045D17">
            <w:pPr>
              <w:pStyle w:val="BodyText"/>
              <w:spacing w:before="144"/>
            </w:pPr>
          </w:p>
        </w:tc>
        <w:tc>
          <w:tcPr>
            <w:tcW w:w="2977" w:type="dxa"/>
          </w:tcPr>
          <w:p w14:paraId="6FB9A691" w14:textId="135ABF18" w:rsidR="00045D17" w:rsidRPr="00045D17" w:rsidRDefault="00045D17" w:rsidP="00045D17">
            <w:pPr>
              <w:pStyle w:val="BodyText"/>
              <w:spacing w:before="144"/>
              <w:jc w:val="center"/>
            </w:pPr>
            <w:r w:rsidRPr="00564A42">
              <w:t>Yes/No</w:t>
            </w:r>
          </w:p>
        </w:tc>
        <w:tc>
          <w:tcPr>
            <w:tcW w:w="2976" w:type="dxa"/>
          </w:tcPr>
          <w:p w14:paraId="40380E46" w14:textId="2AF78B42" w:rsidR="00045D17" w:rsidRPr="00045D17" w:rsidRDefault="00045D17" w:rsidP="00045D17">
            <w:pPr>
              <w:pStyle w:val="BodyText"/>
              <w:spacing w:before="144"/>
              <w:jc w:val="center"/>
            </w:pPr>
            <w:r w:rsidRPr="00FB2847">
              <w:t>Yes/No</w:t>
            </w:r>
          </w:p>
        </w:tc>
        <w:tc>
          <w:tcPr>
            <w:tcW w:w="2944" w:type="dxa"/>
          </w:tcPr>
          <w:p w14:paraId="4188682C" w14:textId="3ECBA0C5" w:rsidR="00045D17" w:rsidRPr="00045D17" w:rsidRDefault="00045D17" w:rsidP="00045D17">
            <w:pPr>
              <w:pStyle w:val="BodyText"/>
              <w:spacing w:before="144"/>
              <w:jc w:val="center"/>
            </w:pPr>
            <w:r w:rsidRPr="00FB2847">
              <w:t>Yes/No</w:t>
            </w:r>
          </w:p>
        </w:tc>
      </w:tr>
      <w:tr w:rsidR="00045D17" w14:paraId="37019DB0" w14:textId="77777777" w:rsidTr="00045D17">
        <w:tc>
          <w:tcPr>
            <w:tcW w:w="1413" w:type="dxa"/>
          </w:tcPr>
          <w:p w14:paraId="540B3CDB" w14:textId="5129F17A" w:rsidR="00045D17" w:rsidRDefault="00045D17" w:rsidP="00045D17">
            <w:pPr>
              <w:pStyle w:val="BodyText"/>
              <w:spacing w:before="144"/>
            </w:pPr>
            <w:r w:rsidRPr="00045D17">
              <w:rPr>
                <w:highlight w:val="yellow"/>
              </w:rPr>
              <w:t xml:space="preserve">(Site </w:t>
            </w:r>
            <w:r>
              <w:rPr>
                <w:highlight w:val="yellow"/>
              </w:rPr>
              <w:t>4</w:t>
            </w:r>
            <w:r w:rsidRPr="00045D17">
              <w:rPr>
                <w:highlight w:val="yellow"/>
              </w:rPr>
              <w:t>)</w:t>
            </w:r>
          </w:p>
          <w:p w14:paraId="0456DB3D" w14:textId="77777777" w:rsidR="00045D17" w:rsidRPr="00045D17" w:rsidRDefault="00045D17" w:rsidP="00045D17">
            <w:pPr>
              <w:pStyle w:val="BodyText"/>
              <w:spacing w:before="144"/>
              <w:rPr>
                <w:highlight w:val="yellow"/>
              </w:rPr>
            </w:pPr>
          </w:p>
        </w:tc>
        <w:tc>
          <w:tcPr>
            <w:tcW w:w="2977" w:type="dxa"/>
          </w:tcPr>
          <w:p w14:paraId="13256404" w14:textId="1B61A4B5" w:rsidR="00045D17" w:rsidRPr="00045D17" w:rsidRDefault="00045D17" w:rsidP="00045D17">
            <w:pPr>
              <w:pStyle w:val="BodyText"/>
              <w:spacing w:before="144"/>
              <w:jc w:val="center"/>
            </w:pPr>
            <w:r w:rsidRPr="00564A42">
              <w:t>Yes/No</w:t>
            </w:r>
          </w:p>
        </w:tc>
        <w:tc>
          <w:tcPr>
            <w:tcW w:w="2976" w:type="dxa"/>
          </w:tcPr>
          <w:p w14:paraId="1C7AB16A" w14:textId="75A635EB" w:rsidR="00045D17" w:rsidRPr="00045D17" w:rsidRDefault="00045D17" w:rsidP="00045D17">
            <w:pPr>
              <w:pStyle w:val="BodyText"/>
              <w:spacing w:before="144"/>
              <w:jc w:val="center"/>
            </w:pPr>
            <w:r w:rsidRPr="00FB2847">
              <w:t>Yes/No</w:t>
            </w:r>
          </w:p>
        </w:tc>
        <w:tc>
          <w:tcPr>
            <w:tcW w:w="2944" w:type="dxa"/>
          </w:tcPr>
          <w:p w14:paraId="29F4FFAF" w14:textId="24E37A2A" w:rsidR="00045D17" w:rsidRPr="00045D17" w:rsidRDefault="00045D17" w:rsidP="00045D17">
            <w:pPr>
              <w:pStyle w:val="BodyText"/>
              <w:spacing w:before="144"/>
              <w:jc w:val="center"/>
            </w:pPr>
            <w:r w:rsidRPr="00FB2847">
              <w:t>Yes/No</w:t>
            </w:r>
          </w:p>
        </w:tc>
      </w:tr>
    </w:tbl>
    <w:p w14:paraId="7288E308" w14:textId="77777777" w:rsidR="009E1794" w:rsidRDefault="009E1794">
      <w:pPr>
        <w:pStyle w:val="BodyText"/>
        <w:spacing w:before="144"/>
        <w:rPr>
          <w:rFonts w:ascii="Verdana"/>
          <w:sz w:val="13"/>
        </w:rPr>
      </w:pPr>
    </w:p>
    <w:sectPr w:rsidR="009E1794" w:rsidSect="008C2B81">
      <w:footerReference w:type="default" r:id="rId20"/>
      <w:pgSz w:w="12240" w:h="15840"/>
      <w:pgMar w:top="2127" w:right="960" w:bottom="1560" w:left="960" w:header="708" w:footer="6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2D7FB" w14:textId="77777777" w:rsidR="004529CC" w:rsidRDefault="004529CC">
      <w:r>
        <w:separator/>
      </w:r>
    </w:p>
  </w:endnote>
  <w:endnote w:type="continuationSeparator" w:id="0">
    <w:p w14:paraId="0A157C5E" w14:textId="77777777" w:rsidR="004529CC" w:rsidRDefault="00452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734E" w14:textId="77777777" w:rsidR="00B0562B" w:rsidRDefault="00B0562B" w:rsidP="007F1B6E">
    <w:pPr>
      <w:rPr>
        <w:rFonts w:ascii="Verdana" w:hAnsi="Verdana"/>
        <w:color w:val="2E4F87"/>
        <w:sz w:val="13"/>
      </w:rPr>
    </w:pPr>
  </w:p>
  <w:p w14:paraId="63F862A9" w14:textId="0B43075C" w:rsidR="007F1B6E" w:rsidRDefault="007F1B6E" w:rsidP="007F1B6E">
    <w:pPr>
      <w:rPr>
        <w:rFonts w:ascii="Verdana" w:hAnsi="Verdana"/>
        <w:color w:val="2E4F87"/>
        <w:sz w:val="13"/>
      </w:rPr>
    </w:pPr>
    <w:r>
      <w:rPr>
        <w:rFonts w:ascii="Verdana" w:hAnsi="Verdana"/>
        <w:color w:val="2E4F87"/>
        <w:sz w:val="13"/>
      </w:rPr>
      <w:t>Interior</w:t>
    </w:r>
    <w:r>
      <w:rPr>
        <w:rFonts w:ascii="Verdana" w:hAnsi="Verdana"/>
        <w:color w:val="2E4F87"/>
        <w:spacing w:val="-3"/>
        <w:sz w:val="13"/>
      </w:rPr>
      <w:t xml:space="preserve"> </w:t>
    </w:r>
    <w:r>
      <w:rPr>
        <w:rFonts w:ascii="Verdana" w:hAnsi="Verdana"/>
        <w:color w:val="2E4F87"/>
        <w:sz w:val="13"/>
      </w:rPr>
      <w:t>Health</w:t>
    </w:r>
    <w:r>
      <w:rPr>
        <w:rFonts w:ascii="Verdana" w:hAnsi="Verdana"/>
        <w:color w:val="2E4F87"/>
        <w:spacing w:val="-3"/>
        <w:sz w:val="13"/>
      </w:rPr>
      <w:t xml:space="preserve"> </w:t>
    </w:r>
    <w:r>
      <w:rPr>
        <w:rFonts w:ascii="Verdana" w:hAnsi="Verdana"/>
        <w:color w:val="2E4F87"/>
        <w:sz w:val="13"/>
      </w:rPr>
      <w:t>would</w:t>
    </w:r>
    <w:r>
      <w:rPr>
        <w:rFonts w:ascii="Verdana" w:hAnsi="Verdana"/>
        <w:color w:val="2E4F87"/>
        <w:spacing w:val="-2"/>
        <w:sz w:val="13"/>
      </w:rPr>
      <w:t xml:space="preserve"> </w:t>
    </w:r>
    <w:r>
      <w:rPr>
        <w:rFonts w:ascii="Verdana" w:hAnsi="Verdana"/>
        <w:color w:val="2E4F87"/>
        <w:sz w:val="13"/>
      </w:rPr>
      <w:t>like</w:t>
    </w:r>
    <w:r>
      <w:rPr>
        <w:rFonts w:ascii="Verdana" w:hAnsi="Verdana"/>
        <w:color w:val="2E4F87"/>
        <w:spacing w:val="-3"/>
        <w:sz w:val="13"/>
      </w:rPr>
      <w:t xml:space="preserve"> </w:t>
    </w:r>
    <w:r>
      <w:rPr>
        <w:rFonts w:ascii="Verdana" w:hAnsi="Verdana"/>
        <w:color w:val="2E4F87"/>
        <w:sz w:val="13"/>
      </w:rPr>
      <w:t>to</w:t>
    </w:r>
    <w:r>
      <w:rPr>
        <w:rFonts w:ascii="Verdana" w:hAnsi="Verdana"/>
        <w:color w:val="2E4F87"/>
        <w:spacing w:val="-2"/>
        <w:sz w:val="13"/>
      </w:rPr>
      <w:t xml:space="preserve"> </w:t>
    </w:r>
    <w:r>
      <w:rPr>
        <w:rFonts w:ascii="Verdana" w:hAnsi="Verdana"/>
        <w:color w:val="2E4F87"/>
        <w:sz w:val="13"/>
      </w:rPr>
      <w:t>recognize</w:t>
    </w:r>
    <w:r>
      <w:rPr>
        <w:rFonts w:ascii="Verdana" w:hAnsi="Verdana"/>
        <w:color w:val="2E4F87"/>
        <w:spacing w:val="-3"/>
        <w:sz w:val="13"/>
      </w:rPr>
      <w:t xml:space="preserve"> </w:t>
    </w:r>
    <w:r>
      <w:rPr>
        <w:rFonts w:ascii="Verdana" w:hAnsi="Verdana"/>
        <w:color w:val="2E4F87"/>
        <w:sz w:val="13"/>
      </w:rPr>
      <w:t>and</w:t>
    </w:r>
    <w:r>
      <w:rPr>
        <w:rFonts w:ascii="Verdana" w:hAnsi="Verdana"/>
        <w:color w:val="2E4F87"/>
        <w:spacing w:val="-2"/>
        <w:sz w:val="13"/>
      </w:rPr>
      <w:t xml:space="preserve"> </w:t>
    </w:r>
    <w:r>
      <w:rPr>
        <w:rFonts w:ascii="Verdana" w:hAnsi="Verdana"/>
        <w:color w:val="2E4F87"/>
        <w:sz w:val="13"/>
      </w:rPr>
      <w:t>acknowledge</w:t>
    </w:r>
    <w:r>
      <w:rPr>
        <w:rFonts w:ascii="Verdana" w:hAnsi="Verdana"/>
        <w:color w:val="2E4F87"/>
        <w:spacing w:val="-1"/>
        <w:sz w:val="13"/>
      </w:rPr>
      <w:t xml:space="preserve"> </w:t>
    </w:r>
    <w:r>
      <w:rPr>
        <w:rFonts w:ascii="Verdana" w:hAnsi="Verdana"/>
        <w:color w:val="2E4F87"/>
        <w:sz w:val="13"/>
      </w:rPr>
      <w:t>the</w:t>
    </w:r>
    <w:r>
      <w:rPr>
        <w:rFonts w:ascii="Verdana" w:hAnsi="Verdana"/>
        <w:color w:val="2E4F87"/>
        <w:spacing w:val="-3"/>
        <w:sz w:val="13"/>
      </w:rPr>
      <w:t xml:space="preserve"> </w:t>
    </w:r>
    <w:r>
      <w:rPr>
        <w:rFonts w:ascii="Verdana" w:hAnsi="Verdana"/>
        <w:color w:val="2E4F87"/>
        <w:sz w:val="13"/>
      </w:rPr>
      <w:t>traditional,</w:t>
    </w:r>
    <w:r>
      <w:rPr>
        <w:rFonts w:ascii="Verdana" w:hAnsi="Verdana"/>
        <w:color w:val="2E4F87"/>
        <w:spacing w:val="-2"/>
        <w:sz w:val="13"/>
      </w:rPr>
      <w:t xml:space="preserve"> </w:t>
    </w:r>
    <w:r>
      <w:rPr>
        <w:rFonts w:ascii="Verdana" w:hAnsi="Verdana"/>
        <w:color w:val="2E4F87"/>
        <w:sz w:val="13"/>
      </w:rPr>
      <w:t>ancestral,</w:t>
    </w:r>
    <w:r>
      <w:rPr>
        <w:rFonts w:ascii="Verdana" w:hAnsi="Verdana"/>
        <w:color w:val="2E4F87"/>
        <w:spacing w:val="-2"/>
        <w:sz w:val="13"/>
      </w:rPr>
      <w:t xml:space="preserve"> </w:t>
    </w:r>
    <w:r>
      <w:rPr>
        <w:rFonts w:ascii="Verdana" w:hAnsi="Verdana"/>
        <w:color w:val="2E4F87"/>
        <w:sz w:val="13"/>
      </w:rPr>
      <w:t>and</w:t>
    </w:r>
    <w:r>
      <w:rPr>
        <w:rFonts w:ascii="Verdana" w:hAnsi="Verdana"/>
        <w:color w:val="2E4F87"/>
        <w:spacing w:val="-2"/>
        <w:sz w:val="13"/>
      </w:rPr>
      <w:t xml:space="preserve"> </w:t>
    </w:r>
    <w:r>
      <w:rPr>
        <w:rFonts w:ascii="Verdana" w:hAnsi="Verdana"/>
        <w:color w:val="2E4F87"/>
        <w:sz w:val="13"/>
      </w:rPr>
      <w:t>unceded</w:t>
    </w:r>
    <w:r>
      <w:rPr>
        <w:rFonts w:ascii="Verdana" w:hAnsi="Verdana"/>
        <w:color w:val="2E4F87"/>
        <w:spacing w:val="-2"/>
        <w:sz w:val="13"/>
      </w:rPr>
      <w:t xml:space="preserve"> </w:t>
    </w:r>
    <w:r>
      <w:rPr>
        <w:rFonts w:ascii="Verdana" w:hAnsi="Verdana"/>
        <w:color w:val="2E4F87"/>
        <w:sz w:val="13"/>
      </w:rPr>
      <w:t>territories</w:t>
    </w:r>
    <w:r>
      <w:rPr>
        <w:rFonts w:ascii="Verdana" w:hAnsi="Verdana"/>
        <w:color w:val="2E4F87"/>
        <w:spacing w:val="-3"/>
        <w:sz w:val="13"/>
      </w:rPr>
      <w:t xml:space="preserve"> </w:t>
    </w:r>
    <w:r>
      <w:rPr>
        <w:rFonts w:ascii="Verdana" w:hAnsi="Verdana"/>
        <w:color w:val="2E4F87"/>
        <w:sz w:val="13"/>
      </w:rPr>
      <w:t>of</w:t>
    </w:r>
    <w:r>
      <w:rPr>
        <w:rFonts w:ascii="Verdana" w:hAnsi="Verdana"/>
        <w:color w:val="2E4F87"/>
        <w:spacing w:val="-3"/>
        <w:sz w:val="13"/>
      </w:rPr>
      <w:t xml:space="preserve"> </w:t>
    </w:r>
    <w:r>
      <w:rPr>
        <w:rFonts w:ascii="Verdana" w:hAnsi="Verdana"/>
        <w:color w:val="2E4F87"/>
        <w:sz w:val="13"/>
      </w:rPr>
      <w:t>the</w:t>
    </w:r>
    <w:r>
      <w:rPr>
        <w:rFonts w:ascii="Verdana" w:hAnsi="Verdana"/>
        <w:color w:val="2E4F87"/>
        <w:spacing w:val="-3"/>
        <w:sz w:val="13"/>
      </w:rPr>
      <w:t xml:space="preserve"> </w:t>
    </w:r>
    <w:r>
      <w:rPr>
        <w:rFonts w:ascii="Verdana" w:hAnsi="Verdana"/>
        <w:color w:val="2E4F87"/>
        <w:sz w:val="13"/>
      </w:rPr>
      <w:t>Dãkelh</w:t>
    </w:r>
    <w:r>
      <w:rPr>
        <w:rFonts w:ascii="Verdana" w:hAnsi="Verdana"/>
        <w:color w:val="2E4F87"/>
        <w:spacing w:val="-3"/>
        <w:sz w:val="13"/>
      </w:rPr>
      <w:t xml:space="preserve"> </w:t>
    </w:r>
    <w:r>
      <w:rPr>
        <w:rFonts w:ascii="Verdana" w:hAnsi="Verdana"/>
        <w:color w:val="2E4F87"/>
        <w:sz w:val="13"/>
      </w:rPr>
      <w:t>Dené,</w:t>
    </w:r>
    <w:r>
      <w:rPr>
        <w:rFonts w:ascii="Verdana" w:hAnsi="Verdana"/>
        <w:color w:val="2E4F87"/>
        <w:spacing w:val="-2"/>
        <w:sz w:val="13"/>
      </w:rPr>
      <w:t xml:space="preserve"> </w:t>
    </w:r>
    <w:r>
      <w:rPr>
        <w:rFonts w:ascii="Verdana" w:hAnsi="Verdana"/>
        <w:color w:val="2E4F87"/>
        <w:sz w:val="13"/>
      </w:rPr>
      <w:t xml:space="preserve">Ktunaxa, Nlaka’pamux, Secwépemc, St’át’imc, </w:t>
    </w:r>
    <w:r w:rsidR="00B0562B">
      <w:rPr>
        <w:rFonts w:ascii="Verdana" w:hAnsi="Verdana"/>
        <w:color w:val="2E4F87"/>
        <w:sz w:val="13"/>
      </w:rPr>
      <w:t>s</w:t>
    </w:r>
    <w:r>
      <w:rPr>
        <w:rFonts w:ascii="Verdana" w:hAnsi="Verdana"/>
        <w:color w:val="2E4F87"/>
        <w:sz w:val="13"/>
      </w:rPr>
      <w:t>yilx, and Tŝilhqot’in Nations where we live, learn, collaborate and work together.</w:t>
    </w:r>
  </w:p>
  <w:p w14:paraId="7CC59B5B" w14:textId="633E8E35" w:rsidR="00B0562B" w:rsidRDefault="00B0562B" w:rsidP="007F1B6E">
    <w:pPr>
      <w:rPr>
        <w:rFonts w:ascii="Verdana" w:hAnsi="Verdana"/>
        <w:color w:val="2E4F87"/>
        <w:sz w:val="13"/>
      </w:rPr>
    </w:pPr>
    <w:r>
      <w:rPr>
        <w:noProof/>
      </w:rPr>
      <w:drawing>
        <wp:anchor distT="0" distB="0" distL="0" distR="0" simplePos="0" relativeHeight="487428096" behindDoc="1" locked="0" layoutInCell="1" allowOverlap="1" wp14:anchorId="606AFF91" wp14:editId="171FDA99">
          <wp:simplePos x="0" y="0"/>
          <wp:positionH relativeFrom="page">
            <wp:posOffset>0</wp:posOffset>
          </wp:positionH>
          <wp:positionV relativeFrom="page">
            <wp:posOffset>9451975</wp:posOffset>
          </wp:positionV>
          <wp:extent cx="7772400" cy="85725"/>
          <wp:effectExtent l="0" t="0" r="0" b="9525"/>
          <wp:wrapNone/>
          <wp:docPr id="2088735521"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 cstate="print"/>
                  <a:stretch>
                    <a:fillRect/>
                  </a:stretch>
                </pic:blipFill>
                <pic:spPr>
                  <a:xfrm>
                    <a:off x="0" y="0"/>
                    <a:ext cx="7772400" cy="85725"/>
                  </a:xfrm>
                  <a:prstGeom prst="rect">
                    <a:avLst/>
                  </a:prstGeom>
                </pic:spPr>
              </pic:pic>
            </a:graphicData>
          </a:graphic>
        </wp:anchor>
      </w:drawing>
    </w:r>
  </w:p>
  <w:p w14:paraId="0D4B01D4" w14:textId="77777777" w:rsidR="00B0562B" w:rsidRDefault="00B0562B" w:rsidP="007F1B6E">
    <w:pPr>
      <w:rPr>
        <w:rFonts w:ascii="Verdana" w:hAnsi="Verdana"/>
        <w:color w:val="2E4F87"/>
        <w:sz w:val="13"/>
      </w:rPr>
    </w:pPr>
  </w:p>
  <w:p w14:paraId="257E1481" w14:textId="246134D3" w:rsidR="00B0562B" w:rsidRDefault="00B0562B" w:rsidP="007F1B6E">
    <w:pPr>
      <w:rPr>
        <w:rFonts w:ascii="Verdana" w:hAnsi="Verdana"/>
        <w:sz w:val="13"/>
      </w:rPr>
    </w:pPr>
    <w:r>
      <w:rPr>
        <w:rFonts w:ascii="Verdana" w:hAnsi="Verdana"/>
        <w:color w:val="2E4F87"/>
        <w:sz w:val="13"/>
      </w:rPr>
      <w:t>Revised August 7, 2025</w:t>
    </w:r>
  </w:p>
  <w:p w14:paraId="09792C73" w14:textId="3639D21E" w:rsidR="009E1794" w:rsidRDefault="009E1794">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246423"/>
      <w:docPartObj>
        <w:docPartGallery w:val="Page Numbers (Bottom of Page)"/>
        <w:docPartUnique/>
      </w:docPartObj>
    </w:sdtPr>
    <w:sdtEndPr>
      <w:rPr>
        <w:noProof/>
        <w:sz w:val="20"/>
        <w:szCs w:val="20"/>
      </w:rPr>
    </w:sdtEndPr>
    <w:sdtContent>
      <w:p w14:paraId="378FD86F" w14:textId="37777A12" w:rsidR="004529CC" w:rsidRPr="004529CC" w:rsidRDefault="00F73E2F">
        <w:pPr>
          <w:pStyle w:val="Footer"/>
          <w:jc w:val="right"/>
          <w:rPr>
            <w:sz w:val="20"/>
            <w:szCs w:val="20"/>
          </w:rPr>
        </w:pPr>
        <w:r w:rsidRPr="00CE0C22">
          <w:rPr>
            <w:noProof/>
            <w:lang w:val="en-CA" w:eastAsia="en-CA"/>
          </w:rPr>
          <w:drawing>
            <wp:anchor distT="0" distB="0" distL="114300" distR="114300" simplePos="0" relativeHeight="487432192" behindDoc="0" locked="0" layoutInCell="1" allowOverlap="1" wp14:anchorId="261A8053" wp14:editId="1E1CC9D4">
              <wp:simplePos x="0" y="0"/>
              <wp:positionH relativeFrom="page">
                <wp:posOffset>29210</wp:posOffset>
              </wp:positionH>
              <wp:positionV relativeFrom="paragraph">
                <wp:posOffset>45720</wp:posOffset>
              </wp:positionV>
              <wp:extent cx="7863840" cy="86360"/>
              <wp:effectExtent l="0" t="0" r="3810" b="8890"/>
              <wp:wrapNone/>
              <wp:docPr id="1128073129" name="Picture 112807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3840" cy="86360"/>
                      </a:xfrm>
                      <a:prstGeom prst="rect">
                        <a:avLst/>
                      </a:prstGeom>
                    </pic:spPr>
                  </pic:pic>
                </a:graphicData>
              </a:graphic>
            </wp:anchor>
          </w:drawing>
        </w:r>
        <w:r w:rsidR="000A4283" w:rsidRPr="007F1B6E">
          <w:rPr>
            <w:rFonts w:ascii="Calibri" w:eastAsia="Calibri" w:hAnsi="Calibri" w:cs="Calibri"/>
            <w:noProof/>
            <w:lang w:eastAsia="en-CA"/>
          </w:rPr>
          <mc:AlternateContent>
            <mc:Choice Requires="wps">
              <w:drawing>
                <wp:anchor distT="0" distB="0" distL="114300" distR="114300" simplePos="0" relativeHeight="487430144" behindDoc="0" locked="0" layoutInCell="1" allowOverlap="1" wp14:anchorId="3D95567D" wp14:editId="14956DB0">
                  <wp:simplePos x="0" y="0"/>
                  <wp:positionH relativeFrom="margin">
                    <wp:posOffset>-19050</wp:posOffset>
                  </wp:positionH>
                  <wp:positionV relativeFrom="paragraph">
                    <wp:posOffset>-265430</wp:posOffset>
                  </wp:positionV>
                  <wp:extent cx="6657975" cy="1346835"/>
                  <wp:effectExtent l="0" t="0" r="9525" b="5715"/>
                  <wp:wrapNone/>
                  <wp:docPr id="1912406824" name="Text Box 1912406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346835"/>
                          </a:xfrm>
                          <a:prstGeom prst="rect">
                            <a:avLst/>
                          </a:prstGeom>
                          <a:solidFill>
                            <a:srgbClr val="FFFFFF"/>
                          </a:solidFill>
                          <a:ln w="9525">
                            <a:noFill/>
                            <a:miter lim="800000"/>
                            <a:headEnd/>
                            <a:tailEnd/>
                          </a:ln>
                        </wps:spPr>
                        <wps:txbx>
                          <w:txbxContent>
                            <w:p w14:paraId="16D94F0A" w14:textId="77777777" w:rsidR="007F1B6E" w:rsidRPr="007F1B6E" w:rsidRDefault="007F1B6E" w:rsidP="007F1B6E">
                              <w:pPr>
                                <w:rPr>
                                  <w:rStyle w:val="Hyperlink"/>
                                  <w:rFonts w:ascii="Verdana" w:hAnsi="Verdana"/>
                                  <w:color w:val="2F4F88"/>
                                  <w:sz w:val="13"/>
                                  <w:szCs w:val="13"/>
                                  <w:u w:val="none"/>
                                </w:rPr>
                              </w:pPr>
                              <w:r w:rsidRPr="007F1B6E">
                                <w:rPr>
                                  <w:rStyle w:val="Hyperlink"/>
                                  <w:rFonts w:ascii="Verdana" w:hAnsi="Verdana"/>
                                  <w:color w:val="2F4F88"/>
                                  <w:sz w:val="13"/>
                                  <w:szCs w:val="13"/>
                                  <w:u w:val="none"/>
                                </w:rPr>
                                <w:t>Interior Health would like to recognize and acknowledge the traditional, ancestral, and unceded territories of the Dãkelh Dené, Ktunaxa, Nlaka’pamux, Secwépemc, St’át’imc, syilx, and Tŝilhqot’in Nations where we live, learn, collaborate, and work together.</w:t>
                              </w:r>
                            </w:p>
                            <w:p w14:paraId="29B9F519" w14:textId="77777777" w:rsidR="007F1B6E" w:rsidRPr="00F91BC0" w:rsidRDefault="007F1B6E" w:rsidP="007F1B6E">
                              <w:pPr>
                                <w:rPr>
                                  <w:rStyle w:val="Hyperlink"/>
                                  <w:rFonts w:ascii="Verdana" w:hAnsi="Verdana"/>
                                  <w:color w:val="2F4F88"/>
                                  <w:sz w:val="13"/>
                                  <w:szCs w:val="13"/>
                                </w:rPr>
                              </w:pPr>
                            </w:p>
                            <w:p w14:paraId="5DFC77FA" w14:textId="77777777" w:rsidR="007F1B6E" w:rsidRPr="00F91BC0" w:rsidRDefault="007F1B6E" w:rsidP="007F1B6E">
                              <w:pPr>
                                <w:rPr>
                                  <w:rStyle w:val="Hyperlink"/>
                                  <w:rFonts w:ascii="Verdana" w:hAnsi="Verdana"/>
                                  <w:color w:val="2F4F88"/>
                                  <w:sz w:val="13"/>
                                  <w:szCs w:val="13"/>
                                </w:rPr>
                              </w:pPr>
                            </w:p>
                            <w:p w14:paraId="6F4742B3" w14:textId="2B4267F1" w:rsidR="007F1B6E" w:rsidRPr="007F1B6E" w:rsidRDefault="000A4283" w:rsidP="007F1B6E">
                              <w:pPr>
                                <w:rPr>
                                  <w:rStyle w:val="Hyperlink"/>
                                  <w:rFonts w:ascii="Verdana" w:hAnsi="Verdana"/>
                                  <w:color w:val="2F4F88"/>
                                  <w:sz w:val="13"/>
                                  <w:szCs w:val="13"/>
                                  <w:u w:val="none"/>
                                </w:rPr>
                              </w:pPr>
                              <w:r>
                                <w:rPr>
                                  <w:rStyle w:val="Hyperlink"/>
                                  <w:rFonts w:ascii="Verdana" w:hAnsi="Verdana"/>
                                  <w:color w:val="2F4F88"/>
                                  <w:sz w:val="13"/>
                                  <w:szCs w:val="13"/>
                                  <w:u w:val="none"/>
                                </w:rPr>
                                <w:t xml:space="preserve">Revised August 7, </w:t>
                              </w:r>
                              <w:r w:rsidR="007F1B6E" w:rsidRPr="007F1B6E">
                                <w:rPr>
                                  <w:rStyle w:val="Hyperlink"/>
                                  <w:rFonts w:ascii="Verdana" w:hAnsi="Verdana"/>
                                  <w:color w:val="2F4F88"/>
                                  <w:sz w:val="13"/>
                                  <w:szCs w:val="13"/>
                                  <w:u w:val="none"/>
                                </w:rPr>
                                <w:t>2025</w:t>
                              </w:r>
                              <w:r w:rsidR="007F1B6E" w:rsidRPr="007F1B6E">
                                <w:rPr>
                                  <w:rStyle w:val="Hyperlink"/>
                                  <w:rFonts w:ascii="Verdana" w:hAnsi="Verdana"/>
                                  <w:color w:val="2F4F88"/>
                                  <w:sz w:val="13"/>
                                  <w:szCs w:val="13"/>
                                  <w:u w:val="none"/>
                                </w:rPr>
                                <w:tab/>
                              </w:r>
                              <w:r w:rsidR="007F1B6E" w:rsidRPr="007F1B6E">
                                <w:rPr>
                                  <w:rStyle w:val="Hyperlink"/>
                                  <w:rFonts w:ascii="Verdana" w:hAnsi="Verdana"/>
                                  <w:color w:val="2F4F88"/>
                                  <w:sz w:val="13"/>
                                  <w:szCs w:val="13"/>
                                  <w:u w:val="none"/>
                                </w:rPr>
                                <w:tab/>
                                <w:t xml:space="preserve">                                                                                                                                              </w:t>
                              </w:r>
                              <w:r w:rsidR="007F1B6E" w:rsidRPr="007F1B6E">
                                <w:rPr>
                                  <w:rStyle w:val="Hyperlink"/>
                                  <w:rFonts w:ascii="Verdana" w:hAnsi="Verdana"/>
                                  <w:color w:val="2F4F88"/>
                                  <w:sz w:val="13"/>
                                  <w:szCs w:val="13"/>
                                  <w:u w:val="none"/>
                                </w:rPr>
                                <w:tab/>
                              </w:r>
                              <w:r w:rsidR="007F1B6E" w:rsidRPr="007F1B6E">
                                <w:rPr>
                                  <w:rStyle w:val="Hyperlink"/>
                                  <w:rFonts w:ascii="Verdana" w:hAnsi="Verdana"/>
                                  <w:color w:val="2F4F88"/>
                                  <w:sz w:val="13"/>
                                  <w:szCs w:val="13"/>
                                  <w:u w:val="none"/>
                                </w:rPr>
                                <w:tab/>
                              </w:r>
                              <w:r w:rsidR="007F1B6E" w:rsidRPr="007F1B6E">
                                <w:rPr>
                                  <w:rStyle w:val="Hyperlink"/>
                                  <w:rFonts w:ascii="Verdana" w:hAnsi="Verdana"/>
                                  <w:color w:val="2F4F88"/>
                                  <w:sz w:val="13"/>
                                  <w:szCs w:val="13"/>
                                  <w:u w:val="none"/>
                                </w:rPr>
                                <w:tab/>
                              </w:r>
                              <w:r w:rsidR="007F1B6E" w:rsidRPr="007F1B6E">
                                <w:rPr>
                                  <w:rStyle w:val="Hyperlink"/>
                                  <w:rFonts w:ascii="Verdana" w:hAnsi="Verdana"/>
                                  <w:color w:val="2F4F88"/>
                                  <w:sz w:val="13"/>
                                  <w:szCs w:val="13"/>
                                  <w:u w:val="none"/>
                                </w:rPr>
                                <w:tab/>
                              </w:r>
                              <w:r w:rsidR="007F1B6E" w:rsidRPr="007F1B6E">
                                <w:rPr>
                                  <w:rStyle w:val="Hyperlink"/>
                                  <w:rFonts w:ascii="Verdana" w:hAnsi="Verdana"/>
                                  <w:color w:val="2F4F88"/>
                                  <w:sz w:val="13"/>
                                  <w:szCs w:val="13"/>
                                  <w:u w:val="none"/>
                                </w:rPr>
                                <w:tab/>
                              </w:r>
                              <w:r w:rsidR="007F1B6E" w:rsidRPr="007F1B6E">
                                <w:rPr>
                                  <w:rStyle w:val="Hyperlink"/>
                                  <w:rFonts w:ascii="Verdana" w:hAnsi="Verdana"/>
                                  <w:color w:val="2F4F88"/>
                                  <w:sz w:val="13"/>
                                  <w:szCs w:val="13"/>
                                  <w:u w:val="none"/>
                                </w:rPr>
                                <w:tab/>
                              </w:r>
                              <w:r w:rsidR="007F1B6E" w:rsidRPr="007F1B6E">
                                <w:rPr>
                                  <w:rStyle w:val="Hyperlink"/>
                                  <w:rFonts w:ascii="Verdana" w:hAnsi="Verdana"/>
                                  <w:color w:val="2F4F88"/>
                                  <w:sz w:val="13"/>
                                  <w:szCs w:val="13"/>
                                  <w:u w:val="none"/>
                                </w:rPr>
                                <w:tab/>
                              </w:r>
                              <w:r w:rsidR="007F1B6E" w:rsidRPr="007F1B6E">
                                <w:rPr>
                                  <w:rStyle w:val="Hyperlink"/>
                                  <w:rFonts w:ascii="Verdana" w:hAnsi="Verdana"/>
                                  <w:color w:val="2F4F88"/>
                                  <w:sz w:val="13"/>
                                  <w:szCs w:val="13"/>
                                  <w:u w:val="none"/>
                                </w:rPr>
                                <w:tab/>
                              </w:r>
                              <w:r w:rsidR="00F73E2F">
                                <w:rPr>
                                  <w:rStyle w:val="Hyperlink"/>
                                  <w:rFonts w:ascii="Verdana" w:hAnsi="Verdana"/>
                                  <w:color w:val="2F4F88"/>
                                  <w:sz w:val="13"/>
                                  <w:szCs w:val="13"/>
                                  <w:u w:val="none"/>
                                </w:rPr>
                                <w:tab/>
                              </w:r>
                              <w:r w:rsidR="00F73E2F">
                                <w:rPr>
                                  <w:rStyle w:val="Hyperlink"/>
                                  <w:rFonts w:ascii="Verdana" w:hAnsi="Verdana"/>
                                  <w:color w:val="2F4F88"/>
                                  <w:sz w:val="13"/>
                                  <w:szCs w:val="13"/>
                                  <w:u w:val="none"/>
                                </w:rPr>
                                <w:tab/>
                              </w:r>
                              <w:r w:rsidR="00F73E2F">
                                <w:rPr>
                                  <w:rStyle w:val="Hyperlink"/>
                                  <w:rFonts w:ascii="Verdana" w:hAnsi="Verdana"/>
                                  <w:color w:val="2F4F88"/>
                                  <w:sz w:val="13"/>
                                  <w:szCs w:val="13"/>
                                  <w:u w:val="none"/>
                                </w:rPr>
                                <w:tab/>
                              </w:r>
                              <w:r w:rsidR="00F73E2F">
                                <w:rPr>
                                  <w:rStyle w:val="Hyperlink"/>
                                  <w:rFonts w:ascii="Verdana" w:hAnsi="Verdana"/>
                                  <w:color w:val="2F4F88"/>
                                  <w:sz w:val="13"/>
                                  <w:szCs w:val="13"/>
                                  <w:u w:val="none"/>
                                </w:rPr>
                                <w:tab/>
                              </w:r>
                              <w:r w:rsidR="00F73E2F">
                                <w:rPr>
                                  <w:rStyle w:val="Hyperlink"/>
                                  <w:rFonts w:ascii="Verdana" w:hAnsi="Verdana"/>
                                  <w:color w:val="2F4F88"/>
                                  <w:sz w:val="13"/>
                                  <w:szCs w:val="13"/>
                                  <w:u w:val="none"/>
                                </w:rPr>
                                <w:tab/>
                              </w:r>
                              <w:r w:rsidR="00F73E2F" w:rsidRPr="00F73E2F">
                                <w:rPr>
                                  <w:rStyle w:val="Hyperlink"/>
                                  <w:rFonts w:ascii="Verdana" w:hAnsi="Verdana"/>
                                  <w:color w:val="2F4F88"/>
                                  <w:sz w:val="13"/>
                                  <w:szCs w:val="13"/>
                                  <w:u w:val="none"/>
                                </w:rPr>
                                <w:t xml:space="preserve">Page </w:t>
                              </w:r>
                              <w:r w:rsidR="00F73E2F" w:rsidRPr="00F73E2F">
                                <w:rPr>
                                  <w:rStyle w:val="Hyperlink"/>
                                  <w:rFonts w:ascii="Verdana" w:hAnsi="Verdana"/>
                                  <w:b/>
                                  <w:bCs/>
                                  <w:color w:val="2F4F88"/>
                                  <w:sz w:val="13"/>
                                  <w:szCs w:val="13"/>
                                  <w:u w:val="none"/>
                                </w:rPr>
                                <w:fldChar w:fldCharType="begin"/>
                              </w:r>
                              <w:r w:rsidR="00F73E2F" w:rsidRPr="00F73E2F">
                                <w:rPr>
                                  <w:rStyle w:val="Hyperlink"/>
                                  <w:rFonts w:ascii="Verdana" w:hAnsi="Verdana"/>
                                  <w:b/>
                                  <w:bCs/>
                                  <w:color w:val="2F4F88"/>
                                  <w:sz w:val="13"/>
                                  <w:szCs w:val="13"/>
                                  <w:u w:val="none"/>
                                </w:rPr>
                                <w:instrText xml:space="preserve"> PAGE  \* Arabic  \* MERGEFORMAT </w:instrText>
                              </w:r>
                              <w:r w:rsidR="00F73E2F" w:rsidRPr="00F73E2F">
                                <w:rPr>
                                  <w:rStyle w:val="Hyperlink"/>
                                  <w:rFonts w:ascii="Verdana" w:hAnsi="Verdana"/>
                                  <w:b/>
                                  <w:bCs/>
                                  <w:color w:val="2F4F88"/>
                                  <w:sz w:val="13"/>
                                  <w:szCs w:val="13"/>
                                  <w:u w:val="none"/>
                                </w:rPr>
                                <w:fldChar w:fldCharType="separate"/>
                              </w:r>
                              <w:r w:rsidR="00F73E2F" w:rsidRPr="00F73E2F">
                                <w:rPr>
                                  <w:rStyle w:val="Hyperlink"/>
                                  <w:rFonts w:ascii="Verdana" w:hAnsi="Verdana"/>
                                  <w:b/>
                                  <w:bCs/>
                                  <w:noProof/>
                                  <w:color w:val="2F4F88"/>
                                  <w:sz w:val="13"/>
                                  <w:szCs w:val="13"/>
                                  <w:u w:val="none"/>
                                </w:rPr>
                                <w:t>1</w:t>
                              </w:r>
                              <w:r w:rsidR="00F73E2F" w:rsidRPr="00F73E2F">
                                <w:rPr>
                                  <w:rStyle w:val="Hyperlink"/>
                                  <w:rFonts w:ascii="Verdana" w:hAnsi="Verdana"/>
                                  <w:b/>
                                  <w:bCs/>
                                  <w:color w:val="2F4F88"/>
                                  <w:sz w:val="13"/>
                                  <w:szCs w:val="13"/>
                                  <w:u w:val="none"/>
                                </w:rPr>
                                <w:fldChar w:fldCharType="end"/>
                              </w:r>
                              <w:r w:rsidR="00F73E2F" w:rsidRPr="00F73E2F">
                                <w:rPr>
                                  <w:rStyle w:val="Hyperlink"/>
                                  <w:rFonts w:ascii="Verdana" w:hAnsi="Verdana"/>
                                  <w:color w:val="2F4F88"/>
                                  <w:sz w:val="13"/>
                                  <w:szCs w:val="13"/>
                                  <w:u w:val="none"/>
                                </w:rPr>
                                <w:t xml:space="preserve"> of </w:t>
                              </w:r>
                              <w:r w:rsidR="009C676E">
                                <w:rPr>
                                  <w:rStyle w:val="Hyperlink"/>
                                  <w:rFonts w:ascii="Verdana" w:hAnsi="Verdana"/>
                                  <w:b/>
                                  <w:bCs/>
                                  <w:color w:val="2F4F88"/>
                                  <w:sz w:val="13"/>
                                  <w:szCs w:val="13"/>
                                  <w:u w:val="none"/>
                                </w:rPr>
                                <w:t>4</w:t>
                              </w:r>
                            </w:p>
                            <w:p w14:paraId="1BD6B15C" w14:textId="77777777" w:rsidR="007F1B6E" w:rsidRDefault="007F1B6E" w:rsidP="007F1B6E">
                              <w:pPr>
                                <w:rPr>
                                  <w:rStyle w:val="Hyperlink"/>
                                  <w:rFonts w:ascii="Verdana" w:hAnsi="Verdana"/>
                                  <w:color w:val="2F4F88"/>
                                  <w:sz w:val="13"/>
                                  <w:szCs w:val="13"/>
                                </w:rPr>
                              </w:pPr>
                            </w:p>
                            <w:p w14:paraId="165ED24B" w14:textId="77777777" w:rsidR="007F1B6E" w:rsidRPr="007D36E9" w:rsidRDefault="007F1B6E" w:rsidP="007F1B6E">
                              <w:pPr>
                                <w:rPr>
                                  <w:rStyle w:val="Hyperlink"/>
                                  <w:rFonts w:ascii="Verdana" w:hAnsi="Verdana"/>
                                  <w:color w:val="2F4F88"/>
                                  <w:sz w:val="13"/>
                                  <w:szCs w:val="1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gridCol w:w="1945"/>
                              </w:tblGrid>
                              <w:tr w:rsidR="007F1B6E" w:rsidRPr="00987551" w14:paraId="75B7F3CD" w14:textId="77777777">
                                <w:tc>
                                  <w:tcPr>
                                    <w:tcW w:w="7110" w:type="dxa"/>
                                  </w:tcPr>
                                  <w:p w14:paraId="4EB63FBE" w14:textId="77777777" w:rsidR="007F1B6E" w:rsidRPr="00987551" w:rsidRDefault="007F1B6E">
                                    <w:pPr>
                                      <w:pStyle w:val="Title"/>
                                      <w:rPr>
                                        <w:rStyle w:val="Hyperlink"/>
                                        <w:color w:val="2F4F88"/>
                                        <w:sz w:val="13"/>
                                        <w:szCs w:val="13"/>
                                      </w:rPr>
                                    </w:pPr>
                                    <w:r>
                                      <w:rPr>
                                        <w:rStyle w:val="Hyperlink"/>
                                        <w:color w:val="2F4F88"/>
                                        <w:sz w:val="13"/>
                                        <w:szCs w:val="13"/>
                                      </w:rPr>
                                      <w:t>INFECTION PREVENTION AND CONTROL</w:t>
                                    </w:r>
                                  </w:p>
                                </w:tc>
                                <w:tc>
                                  <w:tcPr>
                                    <w:tcW w:w="1945" w:type="dxa"/>
                                  </w:tcPr>
                                  <w:p w14:paraId="40B83437" w14:textId="77777777" w:rsidR="007F1B6E" w:rsidRPr="00E755AE" w:rsidRDefault="007F1B6E">
                                    <w:pPr>
                                      <w:rPr>
                                        <w:rStyle w:val="Hyperlink"/>
                                        <w:rFonts w:ascii="Verdana" w:hAnsi="Verdana"/>
                                        <w:color w:val="2F4F88"/>
                                        <w:sz w:val="13"/>
                                        <w:szCs w:val="13"/>
                                      </w:rPr>
                                    </w:pPr>
                                  </w:p>
                                </w:tc>
                              </w:tr>
                              <w:tr w:rsidR="007F1B6E" w:rsidRPr="00706364" w14:paraId="64B490E0" w14:textId="77777777">
                                <w:tc>
                                  <w:tcPr>
                                    <w:tcW w:w="7110" w:type="dxa"/>
                                  </w:tcPr>
                                  <w:p w14:paraId="2D10E6CD" w14:textId="77777777" w:rsidR="007F1B6E" w:rsidRPr="009664BF" w:rsidRDefault="007F1B6E">
                                    <w:pPr>
                                      <w:pStyle w:val="Title"/>
                                    </w:pPr>
                                  </w:p>
                                </w:tc>
                                <w:tc>
                                  <w:tcPr>
                                    <w:tcW w:w="1945" w:type="dxa"/>
                                  </w:tcPr>
                                  <w:p w14:paraId="7C730C87" w14:textId="77777777" w:rsidR="007F1B6E" w:rsidRPr="00706364" w:rsidRDefault="007F1B6E">
                                    <w:pPr>
                                      <w:pStyle w:val="Footer"/>
                                      <w:tabs>
                                        <w:tab w:val="clear" w:pos="4680"/>
                                        <w:tab w:val="clear" w:pos="9360"/>
                                      </w:tabs>
                                    </w:pPr>
                                  </w:p>
                                </w:tc>
                              </w:tr>
                              <w:tr w:rsidR="007F1B6E" w:rsidRPr="00706364" w14:paraId="30EE6760" w14:textId="77777777">
                                <w:tc>
                                  <w:tcPr>
                                    <w:tcW w:w="9055" w:type="dxa"/>
                                    <w:gridSpan w:val="2"/>
                                  </w:tcPr>
                                  <w:p w14:paraId="7E26C8B3" w14:textId="77777777" w:rsidR="007F1B6E" w:rsidRPr="009664BF" w:rsidRDefault="007F1B6E">
                                    <w:pPr>
                                      <w:pStyle w:val="Footer"/>
                                      <w:tabs>
                                        <w:tab w:val="clear" w:pos="4680"/>
                                        <w:tab w:val="clear" w:pos="9360"/>
                                      </w:tabs>
                                      <w:jc w:val="center"/>
                                      <w:rPr>
                                        <w:rStyle w:val="Hyperlink"/>
                                        <w:b/>
                                        <w:color w:val="FFC000"/>
                                        <w:sz w:val="24"/>
                                        <w:szCs w:val="13"/>
                                      </w:rPr>
                                    </w:pPr>
                                    <w:r w:rsidRPr="009664BF">
                                      <w:rPr>
                                        <w:rStyle w:val="Hyperlink"/>
                                        <w:color w:val="2F4F88"/>
                                        <w:sz w:val="13"/>
                                        <w:szCs w:val="13"/>
                                      </w:rPr>
                                      <w:fldChar w:fldCharType="begin"/>
                                    </w:r>
                                    <w:r w:rsidRPr="009664BF">
                                      <w:rPr>
                                        <w:rStyle w:val="Hyperlink"/>
                                        <w:color w:val="2F4F88"/>
                                        <w:sz w:val="13"/>
                                        <w:szCs w:val="13"/>
                                      </w:rPr>
                                      <w:instrText xml:space="preserve"> PAGE   \* MERGEFORMAT </w:instrText>
                                    </w:r>
                                    <w:r w:rsidRPr="009664BF">
                                      <w:rPr>
                                        <w:rStyle w:val="Hyperlink"/>
                                        <w:color w:val="2F4F88"/>
                                        <w:sz w:val="13"/>
                                        <w:szCs w:val="13"/>
                                      </w:rPr>
                                      <w:fldChar w:fldCharType="separate"/>
                                    </w:r>
                                    <w:r>
                                      <w:rPr>
                                        <w:rStyle w:val="Hyperlink"/>
                                        <w:noProof/>
                                        <w:color w:val="2F4F88"/>
                                        <w:sz w:val="13"/>
                                        <w:szCs w:val="13"/>
                                      </w:rPr>
                                      <w:t>0</w:t>
                                    </w:r>
                                    <w:r w:rsidRPr="009664BF">
                                      <w:rPr>
                                        <w:rStyle w:val="Hyperlink"/>
                                        <w:color w:val="2F4F88"/>
                                        <w:sz w:val="13"/>
                                        <w:szCs w:val="13"/>
                                      </w:rPr>
                                      <w:fldChar w:fldCharType="end"/>
                                    </w:r>
                                  </w:p>
                                </w:tc>
                              </w:tr>
                            </w:tbl>
                            <w:p w14:paraId="45009A87" w14:textId="77777777" w:rsidR="007F1B6E" w:rsidRPr="00CE0C22" w:rsidRDefault="007F1B6E" w:rsidP="007F1B6E">
                              <w:pPr>
                                <w:rPr>
                                  <w:color w:val="2F4F88"/>
                                  <w:sz w:val="13"/>
                                  <w:szCs w:val="1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95567D" id="_x0000_t202" coordsize="21600,21600" o:spt="202" path="m,l,21600r21600,l21600,xe">
                  <v:stroke joinstyle="miter"/>
                  <v:path gradientshapeok="t" o:connecttype="rect"/>
                </v:shapetype>
                <v:shape id="Text Box 1912406824" o:spid="_x0000_s1027" type="#_x0000_t202" style="position:absolute;left:0;text-align:left;margin-left:-1.5pt;margin-top:-20.9pt;width:524.25pt;height:106.05pt;z-index:48743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UJEgIAAP4DAAAOAAAAZHJzL2Uyb0RvYy54bWysU9uO2yAQfa/Uf0C8N06ycTax4qy22aaq&#10;tL1I234ABhyjYoYCiZ1+fQfszabtW1UeEMMMZ2bOHDZ3favJSTqvwJR0NplSIg0HocyhpN++7t+s&#10;KPGBGcE0GFnSs/T0bvv61aazhZxDA1pIRxDE+KKzJW1CsEWWed7IlvkJWGnQWYNrWUDTHTLhWIfo&#10;rc7m0+ky68AJ64BL7/H2YXDSbcKva8nD57r2MhBdUqwtpN2lvYp7tt2w4uCYbRQfy2D/UEXLlMGk&#10;F6gHFhg5OvUXVKu4Aw91mHBoM6hrxWXqAbuZTf/o5qlhVqZekBxvLzT5/wfLP52e7BdHQv8Wehxg&#10;asLbR+DfPTGwa5g5yHvnoGskE5h4FinLOuuL8Wmk2hc+glTdRxA4ZHYMkID62rWRFeyTIDoO4Hwh&#10;XfaBcLxcLvPb9W1OCUff7GaxXN3kKQcrnp9b58N7CS2Jh5I6nGqCZ6dHH2I5rHgOidk8aCX2Sutk&#10;uEO1046cGCpgn9aI/luYNqQr6Tqf5wnZQHyfxNGqgArVqi3pahrXoJlIxzsjUkhgSg9nrESbkZ9I&#10;yUBO6KueKDGSF+mqQJyRMAeDIPED4aEB95OSDsVYUv/jyJykRH8wSPp6tlhE9SZjkd/O0XDXnura&#10;wwxHqJIGSobjLiTFRzoM3ONwapVoe6lkLBlFltgcP0RU8bWdol6+7fYXAAAA//8DAFBLAwQUAAYA&#10;CAAAACEAsHbTZd8AAAALAQAADwAAAGRycy9kb3ducmV2LnhtbEyPwU7DMBBE70j8g7VIXFBrlyYN&#10;hDgVIIG4tvQDNvE2iYjtKHab9O/ZnuC0u5rR7JtiO9tenGkMnXcaVksFglztTecaDYfvj8UTiBDR&#10;Gey9Iw0XCrAtb28KzI2f3I7O+9gIDnEhRw1tjEMuZahbshiWfiDH2tGPFiOfYyPNiBOH214+KrWR&#10;FjvHH1oc6L2l+md/shqOX9ND+jxVn/GQ7ZLNG3ZZ5S9a39/Nry8gIs3xzwxXfEaHkpkqf3ImiF7D&#10;Ys1VIs9kxRWuBpWkKYiKt0ytQZaF/N+h/AUAAP//AwBQSwECLQAUAAYACAAAACEAtoM4kv4AAADh&#10;AQAAEwAAAAAAAAAAAAAAAAAAAAAAW0NvbnRlbnRfVHlwZXNdLnhtbFBLAQItABQABgAIAAAAIQA4&#10;/SH/1gAAAJQBAAALAAAAAAAAAAAAAAAAAC8BAABfcmVscy8ucmVsc1BLAQItABQABgAIAAAAIQCP&#10;fJUJEgIAAP4DAAAOAAAAAAAAAAAAAAAAAC4CAABkcnMvZTJvRG9jLnhtbFBLAQItABQABgAIAAAA&#10;IQCwdtNl3wAAAAsBAAAPAAAAAAAAAAAAAAAAAGwEAABkcnMvZG93bnJldi54bWxQSwUGAAAAAAQA&#10;BADzAAAAeAUAAAAA&#10;" stroked="f">
                  <v:textbox>
                    <w:txbxContent>
                      <w:p w14:paraId="16D94F0A" w14:textId="77777777" w:rsidR="007F1B6E" w:rsidRPr="007F1B6E" w:rsidRDefault="007F1B6E" w:rsidP="007F1B6E">
                        <w:pPr>
                          <w:rPr>
                            <w:rStyle w:val="Hyperlink"/>
                            <w:rFonts w:ascii="Verdana" w:hAnsi="Verdana"/>
                            <w:color w:val="2F4F88"/>
                            <w:sz w:val="13"/>
                            <w:szCs w:val="13"/>
                            <w:u w:val="none"/>
                          </w:rPr>
                        </w:pPr>
                        <w:r w:rsidRPr="007F1B6E">
                          <w:rPr>
                            <w:rStyle w:val="Hyperlink"/>
                            <w:rFonts w:ascii="Verdana" w:hAnsi="Verdana"/>
                            <w:color w:val="2F4F88"/>
                            <w:sz w:val="13"/>
                            <w:szCs w:val="13"/>
                            <w:u w:val="none"/>
                          </w:rPr>
                          <w:t>Interior Health would like to recognize and acknowledge the traditional, ancestral, and unceded territories of the Dãkelh Dené, Ktunaxa, Nlaka’pamux, Secwépemc, St’át’imc, syilx, and Tŝilhqot’in Nations where we live, learn, collaborate, and work together.</w:t>
                        </w:r>
                      </w:p>
                      <w:p w14:paraId="29B9F519" w14:textId="77777777" w:rsidR="007F1B6E" w:rsidRPr="00F91BC0" w:rsidRDefault="007F1B6E" w:rsidP="007F1B6E">
                        <w:pPr>
                          <w:rPr>
                            <w:rStyle w:val="Hyperlink"/>
                            <w:rFonts w:ascii="Verdana" w:hAnsi="Verdana"/>
                            <w:color w:val="2F4F88"/>
                            <w:sz w:val="13"/>
                            <w:szCs w:val="13"/>
                          </w:rPr>
                        </w:pPr>
                      </w:p>
                      <w:p w14:paraId="5DFC77FA" w14:textId="77777777" w:rsidR="007F1B6E" w:rsidRPr="00F91BC0" w:rsidRDefault="007F1B6E" w:rsidP="007F1B6E">
                        <w:pPr>
                          <w:rPr>
                            <w:rStyle w:val="Hyperlink"/>
                            <w:rFonts w:ascii="Verdana" w:hAnsi="Verdana"/>
                            <w:color w:val="2F4F88"/>
                            <w:sz w:val="13"/>
                            <w:szCs w:val="13"/>
                          </w:rPr>
                        </w:pPr>
                      </w:p>
                      <w:p w14:paraId="6F4742B3" w14:textId="2B4267F1" w:rsidR="007F1B6E" w:rsidRPr="007F1B6E" w:rsidRDefault="000A4283" w:rsidP="007F1B6E">
                        <w:pPr>
                          <w:rPr>
                            <w:rStyle w:val="Hyperlink"/>
                            <w:rFonts w:ascii="Verdana" w:hAnsi="Verdana"/>
                            <w:color w:val="2F4F88"/>
                            <w:sz w:val="13"/>
                            <w:szCs w:val="13"/>
                            <w:u w:val="none"/>
                          </w:rPr>
                        </w:pPr>
                        <w:r>
                          <w:rPr>
                            <w:rStyle w:val="Hyperlink"/>
                            <w:rFonts w:ascii="Verdana" w:hAnsi="Verdana"/>
                            <w:color w:val="2F4F88"/>
                            <w:sz w:val="13"/>
                            <w:szCs w:val="13"/>
                            <w:u w:val="none"/>
                          </w:rPr>
                          <w:t xml:space="preserve">Revised August 7, </w:t>
                        </w:r>
                        <w:r w:rsidR="007F1B6E" w:rsidRPr="007F1B6E">
                          <w:rPr>
                            <w:rStyle w:val="Hyperlink"/>
                            <w:rFonts w:ascii="Verdana" w:hAnsi="Verdana"/>
                            <w:color w:val="2F4F88"/>
                            <w:sz w:val="13"/>
                            <w:szCs w:val="13"/>
                            <w:u w:val="none"/>
                          </w:rPr>
                          <w:t>2025</w:t>
                        </w:r>
                        <w:r w:rsidR="007F1B6E" w:rsidRPr="007F1B6E">
                          <w:rPr>
                            <w:rStyle w:val="Hyperlink"/>
                            <w:rFonts w:ascii="Verdana" w:hAnsi="Verdana"/>
                            <w:color w:val="2F4F88"/>
                            <w:sz w:val="13"/>
                            <w:szCs w:val="13"/>
                            <w:u w:val="none"/>
                          </w:rPr>
                          <w:tab/>
                        </w:r>
                        <w:r w:rsidR="007F1B6E" w:rsidRPr="007F1B6E">
                          <w:rPr>
                            <w:rStyle w:val="Hyperlink"/>
                            <w:rFonts w:ascii="Verdana" w:hAnsi="Verdana"/>
                            <w:color w:val="2F4F88"/>
                            <w:sz w:val="13"/>
                            <w:szCs w:val="13"/>
                            <w:u w:val="none"/>
                          </w:rPr>
                          <w:tab/>
                          <w:t xml:space="preserve">                                                                                                                                              </w:t>
                        </w:r>
                        <w:r w:rsidR="007F1B6E" w:rsidRPr="007F1B6E">
                          <w:rPr>
                            <w:rStyle w:val="Hyperlink"/>
                            <w:rFonts w:ascii="Verdana" w:hAnsi="Verdana"/>
                            <w:color w:val="2F4F88"/>
                            <w:sz w:val="13"/>
                            <w:szCs w:val="13"/>
                            <w:u w:val="none"/>
                          </w:rPr>
                          <w:tab/>
                        </w:r>
                        <w:r w:rsidR="007F1B6E" w:rsidRPr="007F1B6E">
                          <w:rPr>
                            <w:rStyle w:val="Hyperlink"/>
                            <w:rFonts w:ascii="Verdana" w:hAnsi="Verdana"/>
                            <w:color w:val="2F4F88"/>
                            <w:sz w:val="13"/>
                            <w:szCs w:val="13"/>
                            <w:u w:val="none"/>
                          </w:rPr>
                          <w:tab/>
                        </w:r>
                        <w:r w:rsidR="007F1B6E" w:rsidRPr="007F1B6E">
                          <w:rPr>
                            <w:rStyle w:val="Hyperlink"/>
                            <w:rFonts w:ascii="Verdana" w:hAnsi="Verdana"/>
                            <w:color w:val="2F4F88"/>
                            <w:sz w:val="13"/>
                            <w:szCs w:val="13"/>
                            <w:u w:val="none"/>
                          </w:rPr>
                          <w:tab/>
                        </w:r>
                        <w:r w:rsidR="007F1B6E" w:rsidRPr="007F1B6E">
                          <w:rPr>
                            <w:rStyle w:val="Hyperlink"/>
                            <w:rFonts w:ascii="Verdana" w:hAnsi="Verdana"/>
                            <w:color w:val="2F4F88"/>
                            <w:sz w:val="13"/>
                            <w:szCs w:val="13"/>
                            <w:u w:val="none"/>
                          </w:rPr>
                          <w:tab/>
                        </w:r>
                        <w:r w:rsidR="007F1B6E" w:rsidRPr="007F1B6E">
                          <w:rPr>
                            <w:rStyle w:val="Hyperlink"/>
                            <w:rFonts w:ascii="Verdana" w:hAnsi="Verdana"/>
                            <w:color w:val="2F4F88"/>
                            <w:sz w:val="13"/>
                            <w:szCs w:val="13"/>
                            <w:u w:val="none"/>
                          </w:rPr>
                          <w:tab/>
                        </w:r>
                        <w:r w:rsidR="007F1B6E" w:rsidRPr="007F1B6E">
                          <w:rPr>
                            <w:rStyle w:val="Hyperlink"/>
                            <w:rFonts w:ascii="Verdana" w:hAnsi="Verdana"/>
                            <w:color w:val="2F4F88"/>
                            <w:sz w:val="13"/>
                            <w:szCs w:val="13"/>
                            <w:u w:val="none"/>
                          </w:rPr>
                          <w:tab/>
                        </w:r>
                        <w:r w:rsidR="007F1B6E" w:rsidRPr="007F1B6E">
                          <w:rPr>
                            <w:rStyle w:val="Hyperlink"/>
                            <w:rFonts w:ascii="Verdana" w:hAnsi="Verdana"/>
                            <w:color w:val="2F4F88"/>
                            <w:sz w:val="13"/>
                            <w:szCs w:val="13"/>
                            <w:u w:val="none"/>
                          </w:rPr>
                          <w:tab/>
                        </w:r>
                        <w:r w:rsidR="007F1B6E" w:rsidRPr="007F1B6E">
                          <w:rPr>
                            <w:rStyle w:val="Hyperlink"/>
                            <w:rFonts w:ascii="Verdana" w:hAnsi="Verdana"/>
                            <w:color w:val="2F4F88"/>
                            <w:sz w:val="13"/>
                            <w:szCs w:val="13"/>
                            <w:u w:val="none"/>
                          </w:rPr>
                          <w:tab/>
                        </w:r>
                        <w:r w:rsidR="00F73E2F">
                          <w:rPr>
                            <w:rStyle w:val="Hyperlink"/>
                            <w:rFonts w:ascii="Verdana" w:hAnsi="Verdana"/>
                            <w:color w:val="2F4F88"/>
                            <w:sz w:val="13"/>
                            <w:szCs w:val="13"/>
                            <w:u w:val="none"/>
                          </w:rPr>
                          <w:tab/>
                        </w:r>
                        <w:r w:rsidR="00F73E2F">
                          <w:rPr>
                            <w:rStyle w:val="Hyperlink"/>
                            <w:rFonts w:ascii="Verdana" w:hAnsi="Verdana"/>
                            <w:color w:val="2F4F88"/>
                            <w:sz w:val="13"/>
                            <w:szCs w:val="13"/>
                            <w:u w:val="none"/>
                          </w:rPr>
                          <w:tab/>
                        </w:r>
                        <w:r w:rsidR="00F73E2F">
                          <w:rPr>
                            <w:rStyle w:val="Hyperlink"/>
                            <w:rFonts w:ascii="Verdana" w:hAnsi="Verdana"/>
                            <w:color w:val="2F4F88"/>
                            <w:sz w:val="13"/>
                            <w:szCs w:val="13"/>
                            <w:u w:val="none"/>
                          </w:rPr>
                          <w:tab/>
                        </w:r>
                        <w:r w:rsidR="00F73E2F">
                          <w:rPr>
                            <w:rStyle w:val="Hyperlink"/>
                            <w:rFonts w:ascii="Verdana" w:hAnsi="Verdana"/>
                            <w:color w:val="2F4F88"/>
                            <w:sz w:val="13"/>
                            <w:szCs w:val="13"/>
                            <w:u w:val="none"/>
                          </w:rPr>
                          <w:tab/>
                        </w:r>
                        <w:r w:rsidR="00F73E2F">
                          <w:rPr>
                            <w:rStyle w:val="Hyperlink"/>
                            <w:rFonts w:ascii="Verdana" w:hAnsi="Verdana"/>
                            <w:color w:val="2F4F88"/>
                            <w:sz w:val="13"/>
                            <w:szCs w:val="13"/>
                            <w:u w:val="none"/>
                          </w:rPr>
                          <w:tab/>
                        </w:r>
                        <w:r w:rsidR="00F73E2F" w:rsidRPr="00F73E2F">
                          <w:rPr>
                            <w:rStyle w:val="Hyperlink"/>
                            <w:rFonts w:ascii="Verdana" w:hAnsi="Verdana"/>
                            <w:color w:val="2F4F88"/>
                            <w:sz w:val="13"/>
                            <w:szCs w:val="13"/>
                            <w:u w:val="none"/>
                          </w:rPr>
                          <w:t xml:space="preserve">Page </w:t>
                        </w:r>
                        <w:r w:rsidR="00F73E2F" w:rsidRPr="00F73E2F">
                          <w:rPr>
                            <w:rStyle w:val="Hyperlink"/>
                            <w:rFonts w:ascii="Verdana" w:hAnsi="Verdana"/>
                            <w:b/>
                            <w:bCs/>
                            <w:color w:val="2F4F88"/>
                            <w:sz w:val="13"/>
                            <w:szCs w:val="13"/>
                            <w:u w:val="none"/>
                          </w:rPr>
                          <w:fldChar w:fldCharType="begin"/>
                        </w:r>
                        <w:r w:rsidR="00F73E2F" w:rsidRPr="00F73E2F">
                          <w:rPr>
                            <w:rStyle w:val="Hyperlink"/>
                            <w:rFonts w:ascii="Verdana" w:hAnsi="Verdana"/>
                            <w:b/>
                            <w:bCs/>
                            <w:color w:val="2F4F88"/>
                            <w:sz w:val="13"/>
                            <w:szCs w:val="13"/>
                            <w:u w:val="none"/>
                          </w:rPr>
                          <w:instrText xml:space="preserve"> PAGE  \* Arabic  \* MERGEFORMAT </w:instrText>
                        </w:r>
                        <w:r w:rsidR="00F73E2F" w:rsidRPr="00F73E2F">
                          <w:rPr>
                            <w:rStyle w:val="Hyperlink"/>
                            <w:rFonts w:ascii="Verdana" w:hAnsi="Verdana"/>
                            <w:b/>
                            <w:bCs/>
                            <w:color w:val="2F4F88"/>
                            <w:sz w:val="13"/>
                            <w:szCs w:val="13"/>
                            <w:u w:val="none"/>
                          </w:rPr>
                          <w:fldChar w:fldCharType="separate"/>
                        </w:r>
                        <w:r w:rsidR="00F73E2F" w:rsidRPr="00F73E2F">
                          <w:rPr>
                            <w:rStyle w:val="Hyperlink"/>
                            <w:rFonts w:ascii="Verdana" w:hAnsi="Verdana"/>
                            <w:b/>
                            <w:bCs/>
                            <w:noProof/>
                            <w:color w:val="2F4F88"/>
                            <w:sz w:val="13"/>
                            <w:szCs w:val="13"/>
                            <w:u w:val="none"/>
                          </w:rPr>
                          <w:t>1</w:t>
                        </w:r>
                        <w:r w:rsidR="00F73E2F" w:rsidRPr="00F73E2F">
                          <w:rPr>
                            <w:rStyle w:val="Hyperlink"/>
                            <w:rFonts w:ascii="Verdana" w:hAnsi="Verdana"/>
                            <w:b/>
                            <w:bCs/>
                            <w:color w:val="2F4F88"/>
                            <w:sz w:val="13"/>
                            <w:szCs w:val="13"/>
                            <w:u w:val="none"/>
                          </w:rPr>
                          <w:fldChar w:fldCharType="end"/>
                        </w:r>
                        <w:r w:rsidR="00F73E2F" w:rsidRPr="00F73E2F">
                          <w:rPr>
                            <w:rStyle w:val="Hyperlink"/>
                            <w:rFonts w:ascii="Verdana" w:hAnsi="Verdana"/>
                            <w:color w:val="2F4F88"/>
                            <w:sz w:val="13"/>
                            <w:szCs w:val="13"/>
                            <w:u w:val="none"/>
                          </w:rPr>
                          <w:t xml:space="preserve"> of </w:t>
                        </w:r>
                        <w:r w:rsidR="009C676E">
                          <w:rPr>
                            <w:rStyle w:val="Hyperlink"/>
                            <w:rFonts w:ascii="Verdana" w:hAnsi="Verdana"/>
                            <w:b/>
                            <w:bCs/>
                            <w:color w:val="2F4F88"/>
                            <w:sz w:val="13"/>
                            <w:szCs w:val="13"/>
                            <w:u w:val="none"/>
                          </w:rPr>
                          <w:t>4</w:t>
                        </w:r>
                      </w:p>
                      <w:p w14:paraId="1BD6B15C" w14:textId="77777777" w:rsidR="007F1B6E" w:rsidRDefault="007F1B6E" w:rsidP="007F1B6E">
                        <w:pPr>
                          <w:rPr>
                            <w:rStyle w:val="Hyperlink"/>
                            <w:rFonts w:ascii="Verdana" w:hAnsi="Verdana"/>
                            <w:color w:val="2F4F88"/>
                            <w:sz w:val="13"/>
                            <w:szCs w:val="13"/>
                          </w:rPr>
                        </w:pPr>
                      </w:p>
                      <w:p w14:paraId="165ED24B" w14:textId="77777777" w:rsidR="007F1B6E" w:rsidRPr="007D36E9" w:rsidRDefault="007F1B6E" w:rsidP="007F1B6E">
                        <w:pPr>
                          <w:rPr>
                            <w:rStyle w:val="Hyperlink"/>
                            <w:rFonts w:ascii="Verdana" w:hAnsi="Verdana"/>
                            <w:color w:val="2F4F88"/>
                            <w:sz w:val="13"/>
                            <w:szCs w:val="1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gridCol w:w="1945"/>
                        </w:tblGrid>
                        <w:tr w:rsidR="007F1B6E" w:rsidRPr="00987551" w14:paraId="75B7F3CD" w14:textId="77777777">
                          <w:tc>
                            <w:tcPr>
                              <w:tcW w:w="7110" w:type="dxa"/>
                            </w:tcPr>
                            <w:p w14:paraId="4EB63FBE" w14:textId="77777777" w:rsidR="007F1B6E" w:rsidRPr="00987551" w:rsidRDefault="007F1B6E">
                              <w:pPr>
                                <w:pStyle w:val="Title"/>
                                <w:rPr>
                                  <w:rStyle w:val="Hyperlink"/>
                                  <w:color w:val="2F4F88"/>
                                  <w:sz w:val="13"/>
                                  <w:szCs w:val="13"/>
                                </w:rPr>
                              </w:pPr>
                              <w:r>
                                <w:rPr>
                                  <w:rStyle w:val="Hyperlink"/>
                                  <w:color w:val="2F4F88"/>
                                  <w:sz w:val="13"/>
                                  <w:szCs w:val="13"/>
                                </w:rPr>
                                <w:t>INFECTION PREVENTION AND CONTROL</w:t>
                              </w:r>
                            </w:p>
                          </w:tc>
                          <w:tc>
                            <w:tcPr>
                              <w:tcW w:w="1945" w:type="dxa"/>
                            </w:tcPr>
                            <w:p w14:paraId="40B83437" w14:textId="77777777" w:rsidR="007F1B6E" w:rsidRPr="00E755AE" w:rsidRDefault="007F1B6E">
                              <w:pPr>
                                <w:rPr>
                                  <w:rStyle w:val="Hyperlink"/>
                                  <w:rFonts w:ascii="Verdana" w:hAnsi="Verdana"/>
                                  <w:color w:val="2F4F88"/>
                                  <w:sz w:val="13"/>
                                  <w:szCs w:val="13"/>
                                </w:rPr>
                              </w:pPr>
                            </w:p>
                          </w:tc>
                        </w:tr>
                        <w:tr w:rsidR="007F1B6E" w:rsidRPr="00706364" w14:paraId="64B490E0" w14:textId="77777777">
                          <w:tc>
                            <w:tcPr>
                              <w:tcW w:w="7110" w:type="dxa"/>
                            </w:tcPr>
                            <w:p w14:paraId="2D10E6CD" w14:textId="77777777" w:rsidR="007F1B6E" w:rsidRPr="009664BF" w:rsidRDefault="007F1B6E">
                              <w:pPr>
                                <w:pStyle w:val="Title"/>
                              </w:pPr>
                            </w:p>
                          </w:tc>
                          <w:tc>
                            <w:tcPr>
                              <w:tcW w:w="1945" w:type="dxa"/>
                            </w:tcPr>
                            <w:p w14:paraId="7C730C87" w14:textId="77777777" w:rsidR="007F1B6E" w:rsidRPr="00706364" w:rsidRDefault="007F1B6E">
                              <w:pPr>
                                <w:pStyle w:val="Footer"/>
                                <w:tabs>
                                  <w:tab w:val="clear" w:pos="4680"/>
                                  <w:tab w:val="clear" w:pos="9360"/>
                                </w:tabs>
                              </w:pPr>
                            </w:p>
                          </w:tc>
                        </w:tr>
                        <w:tr w:rsidR="007F1B6E" w:rsidRPr="00706364" w14:paraId="30EE6760" w14:textId="77777777">
                          <w:tc>
                            <w:tcPr>
                              <w:tcW w:w="9055" w:type="dxa"/>
                              <w:gridSpan w:val="2"/>
                            </w:tcPr>
                            <w:p w14:paraId="7E26C8B3" w14:textId="77777777" w:rsidR="007F1B6E" w:rsidRPr="009664BF" w:rsidRDefault="007F1B6E">
                              <w:pPr>
                                <w:pStyle w:val="Footer"/>
                                <w:tabs>
                                  <w:tab w:val="clear" w:pos="4680"/>
                                  <w:tab w:val="clear" w:pos="9360"/>
                                </w:tabs>
                                <w:jc w:val="center"/>
                                <w:rPr>
                                  <w:rStyle w:val="Hyperlink"/>
                                  <w:b/>
                                  <w:color w:val="FFC000"/>
                                  <w:sz w:val="24"/>
                                  <w:szCs w:val="13"/>
                                </w:rPr>
                              </w:pPr>
                              <w:r w:rsidRPr="009664BF">
                                <w:rPr>
                                  <w:rStyle w:val="Hyperlink"/>
                                  <w:color w:val="2F4F88"/>
                                  <w:sz w:val="13"/>
                                  <w:szCs w:val="13"/>
                                </w:rPr>
                                <w:fldChar w:fldCharType="begin"/>
                              </w:r>
                              <w:r w:rsidRPr="009664BF">
                                <w:rPr>
                                  <w:rStyle w:val="Hyperlink"/>
                                  <w:color w:val="2F4F88"/>
                                  <w:sz w:val="13"/>
                                  <w:szCs w:val="13"/>
                                </w:rPr>
                                <w:instrText xml:space="preserve"> PAGE   \* MERGEFORMAT </w:instrText>
                              </w:r>
                              <w:r w:rsidRPr="009664BF">
                                <w:rPr>
                                  <w:rStyle w:val="Hyperlink"/>
                                  <w:color w:val="2F4F88"/>
                                  <w:sz w:val="13"/>
                                  <w:szCs w:val="13"/>
                                </w:rPr>
                                <w:fldChar w:fldCharType="separate"/>
                              </w:r>
                              <w:r>
                                <w:rPr>
                                  <w:rStyle w:val="Hyperlink"/>
                                  <w:noProof/>
                                  <w:color w:val="2F4F88"/>
                                  <w:sz w:val="13"/>
                                  <w:szCs w:val="13"/>
                                </w:rPr>
                                <w:t>0</w:t>
                              </w:r>
                              <w:r w:rsidRPr="009664BF">
                                <w:rPr>
                                  <w:rStyle w:val="Hyperlink"/>
                                  <w:color w:val="2F4F88"/>
                                  <w:sz w:val="13"/>
                                  <w:szCs w:val="13"/>
                                </w:rPr>
                                <w:fldChar w:fldCharType="end"/>
                              </w:r>
                            </w:p>
                          </w:tc>
                        </w:tr>
                      </w:tbl>
                      <w:p w14:paraId="45009A87" w14:textId="77777777" w:rsidR="007F1B6E" w:rsidRPr="00CE0C22" w:rsidRDefault="007F1B6E" w:rsidP="007F1B6E">
                        <w:pPr>
                          <w:rPr>
                            <w:color w:val="2F4F88"/>
                            <w:sz w:val="13"/>
                            <w:szCs w:val="13"/>
                          </w:rPr>
                        </w:pPr>
                      </w:p>
                    </w:txbxContent>
                  </v:textbox>
                  <w10:wrap anchorx="margin"/>
                </v:shape>
              </w:pict>
            </mc:Fallback>
          </mc:AlternateContent>
        </w:r>
        <w:r w:rsidR="004529CC" w:rsidRPr="004529CC">
          <w:rPr>
            <w:sz w:val="20"/>
            <w:szCs w:val="20"/>
          </w:rPr>
          <w:fldChar w:fldCharType="begin"/>
        </w:r>
        <w:r w:rsidR="004529CC" w:rsidRPr="004529CC">
          <w:rPr>
            <w:sz w:val="20"/>
            <w:szCs w:val="20"/>
          </w:rPr>
          <w:instrText xml:space="preserve"> PAGE   \* MERGEFORMAT </w:instrText>
        </w:r>
        <w:r w:rsidR="004529CC" w:rsidRPr="004529CC">
          <w:rPr>
            <w:sz w:val="20"/>
            <w:szCs w:val="20"/>
          </w:rPr>
          <w:fldChar w:fldCharType="separate"/>
        </w:r>
        <w:r w:rsidR="004529CC" w:rsidRPr="004529CC">
          <w:rPr>
            <w:noProof/>
            <w:sz w:val="20"/>
            <w:szCs w:val="20"/>
          </w:rPr>
          <w:t>2</w:t>
        </w:r>
        <w:r w:rsidR="004529CC" w:rsidRPr="004529CC">
          <w:rPr>
            <w:noProof/>
            <w:sz w:val="20"/>
            <w:szCs w:val="20"/>
          </w:rPr>
          <w:fldChar w:fldCharType="end"/>
        </w:r>
      </w:p>
    </w:sdtContent>
  </w:sdt>
  <w:p w14:paraId="75BAA611" w14:textId="4987A16E" w:rsidR="004529CC" w:rsidRDefault="004529CC">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5ED9C" w14:textId="77777777" w:rsidR="004529CC" w:rsidRDefault="004529CC">
      <w:r>
        <w:separator/>
      </w:r>
    </w:p>
  </w:footnote>
  <w:footnote w:type="continuationSeparator" w:id="0">
    <w:p w14:paraId="17CAC2AC" w14:textId="77777777" w:rsidR="004529CC" w:rsidRDefault="00452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ED8F1" w14:textId="77777777" w:rsidR="009E1794" w:rsidRDefault="004529CC">
    <w:pPr>
      <w:pStyle w:val="BodyText"/>
      <w:spacing w:line="14" w:lineRule="auto"/>
    </w:pPr>
    <w:r>
      <w:rPr>
        <w:noProof/>
      </w:rPr>
      <w:drawing>
        <wp:anchor distT="0" distB="0" distL="0" distR="0" simplePos="0" relativeHeight="487427072" behindDoc="1" locked="0" layoutInCell="1" allowOverlap="1" wp14:anchorId="05280D19" wp14:editId="6C8B1A9F">
          <wp:simplePos x="0" y="0"/>
          <wp:positionH relativeFrom="page">
            <wp:posOffset>685800</wp:posOffset>
          </wp:positionH>
          <wp:positionV relativeFrom="page">
            <wp:posOffset>513715</wp:posOffset>
          </wp:positionV>
          <wp:extent cx="2798445" cy="579120"/>
          <wp:effectExtent l="0" t="0" r="0" b="0"/>
          <wp:wrapNone/>
          <wp:docPr id="131172141"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2798445" cy="579120"/>
                  </a:xfrm>
                  <a:prstGeom prst="rect">
                    <a:avLst/>
                  </a:prstGeom>
                </pic:spPr>
              </pic:pic>
            </a:graphicData>
          </a:graphic>
        </wp:anchor>
      </w:drawing>
    </w:r>
    <w:r>
      <w:rPr>
        <w:noProof/>
      </w:rPr>
      <mc:AlternateContent>
        <mc:Choice Requires="wps">
          <w:drawing>
            <wp:anchor distT="0" distB="0" distL="0" distR="0" simplePos="0" relativeHeight="487427584" behindDoc="1" locked="0" layoutInCell="1" allowOverlap="1" wp14:anchorId="2F893BDA" wp14:editId="3EC9D7DD">
              <wp:simplePos x="0" y="0"/>
              <wp:positionH relativeFrom="page">
                <wp:posOffset>5502021</wp:posOffset>
              </wp:positionH>
              <wp:positionV relativeFrom="page">
                <wp:posOffset>437176</wp:posOffset>
              </wp:positionV>
              <wp:extent cx="1598930" cy="85979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8930" cy="859790"/>
                      </a:xfrm>
                      <a:prstGeom prst="rect">
                        <a:avLst/>
                      </a:prstGeom>
                    </wps:spPr>
                    <wps:txbx>
                      <w:txbxContent>
                        <w:p w14:paraId="382BB13F" w14:textId="77777777" w:rsidR="009E1794" w:rsidRDefault="004529CC">
                          <w:pPr>
                            <w:spacing w:before="20"/>
                            <w:ind w:left="20" w:right="18" w:firstLine="232"/>
                            <w:jc w:val="both"/>
                            <w:rPr>
                              <w:rFonts w:ascii="Verdana"/>
                              <w:b/>
                              <w:sz w:val="36"/>
                            </w:rPr>
                          </w:pPr>
                          <w:r>
                            <w:rPr>
                              <w:rFonts w:ascii="Verdana"/>
                              <w:b/>
                              <w:color w:val="00C1D4"/>
                              <w:spacing w:val="-2"/>
                              <w:sz w:val="36"/>
                            </w:rPr>
                            <w:t>STANDARD OPERATING PROCEDURE</w:t>
                          </w:r>
                        </w:p>
                      </w:txbxContent>
                    </wps:txbx>
                    <wps:bodyPr wrap="square" lIns="0" tIns="0" rIns="0" bIns="0" rtlCol="0">
                      <a:noAutofit/>
                    </wps:bodyPr>
                  </wps:wsp>
                </a:graphicData>
              </a:graphic>
            </wp:anchor>
          </w:drawing>
        </mc:Choice>
        <mc:Fallback>
          <w:pict>
            <v:shapetype w14:anchorId="2F893BDA" id="_x0000_t202" coordsize="21600,21600" o:spt="202" path="m,l,21600r21600,l21600,xe">
              <v:stroke joinstyle="miter"/>
              <v:path gradientshapeok="t" o:connecttype="rect"/>
            </v:shapetype>
            <v:shape id="Textbox 13" o:spid="_x0000_s1026" type="#_x0000_t202" style="position:absolute;margin-left:433.25pt;margin-top:34.4pt;width:125.9pt;height:67.7pt;z-index:-15888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pd/lAEAABsDAAAOAAAAZHJzL2Uyb0RvYy54bWysUsFu2zAMvQ/YPwi6L0pbdEuMOMW6YsOA&#10;YivQ9gMUWYqNWaJGKrHz96NUJxna27ALTZnU43uPWt2Mvhd7i9RBqOXFbC6FDQaaLmxr+fz09cNC&#10;Cko6NLqHYGt5sCRv1u/frYZY2UtooW8sCgYJVA2xlm1KsVKKTGu9phlEG7joAL1OfMStalAPjO57&#10;dTmff1QDYBMRjCXiv3cvRbku+M5Zk346RzaJvpbMLZWIJW5yVOuVrraoY9uZiYb+BxZed4GHnqDu&#10;dNJih90bKN8ZBAKXZga8Auc6Y4sGVnMxf6XmsdXRFi1sDsWTTfT/YM2P/WN8QJHGWxh5gUUExXsw&#10;v4i9UUOkaurJnlJF3J2Fjg59/rIEwRfZ28PJTzsmYTLa9XKxvOKS4drievlpWQxX59sRKX2z4EVO&#10;aom8r8JA7+8p5fm6OrZMZF7mZyZp3IzcktMNNAcWMfAea0m/dxqtFP33wEblpR8TPCabY4Kp/wLl&#10;aWQtAT7vEriuTD7jTpN5A4XQ9Fryiv8+l67zm17/AQAA//8DAFBLAwQUAAYACAAAACEAB/GmpOAA&#10;AAALAQAADwAAAGRycy9kb3ducmV2LnhtbEyPwU7DMBBE70j8g7VI3KidAFEI2VQVghMSIg0Hjk7s&#10;JlbjdYjdNvw97qkcV/s086ZcL3ZkRz174wghWQlgmjqnDPUIX83bXQ7MB0lKjo40wq/2sK6ur0pZ&#10;KHeiWh+3oWcxhHwhEYYQpoJz3w3aSr9yk6b427nZyhDPuedqlqcYbkeeCpFxKw3FhkFO+mXQ3X57&#10;sAibb6pfzc9H+1nvatM0T4Lesz3i7c2yeQYW9BIuMJz1ozpU0al1B1KejQh5lj1GFCHL44QzkCT5&#10;PbAWIRUPKfCq5P83VH8AAAD//wMAUEsBAi0AFAAGAAgAAAAhALaDOJL+AAAA4QEAABMAAAAAAAAA&#10;AAAAAAAAAAAAAFtDb250ZW50X1R5cGVzXS54bWxQSwECLQAUAAYACAAAACEAOP0h/9YAAACUAQAA&#10;CwAAAAAAAAAAAAAAAAAvAQAAX3JlbHMvLnJlbHNQSwECLQAUAAYACAAAACEAes6Xf5QBAAAbAwAA&#10;DgAAAAAAAAAAAAAAAAAuAgAAZHJzL2Uyb0RvYy54bWxQSwECLQAUAAYACAAAACEAB/GmpOAAAAAL&#10;AQAADwAAAAAAAAAAAAAAAADuAwAAZHJzL2Rvd25yZXYueG1sUEsFBgAAAAAEAAQA8wAAAPsEAAAA&#10;AA==&#10;" filled="f" stroked="f">
              <v:textbox inset="0,0,0,0">
                <w:txbxContent>
                  <w:p w14:paraId="382BB13F" w14:textId="77777777" w:rsidR="009E1794" w:rsidRDefault="004529CC">
                    <w:pPr>
                      <w:spacing w:before="20"/>
                      <w:ind w:left="20" w:right="18" w:firstLine="232"/>
                      <w:jc w:val="both"/>
                      <w:rPr>
                        <w:rFonts w:ascii="Verdana"/>
                        <w:b/>
                        <w:sz w:val="36"/>
                      </w:rPr>
                    </w:pPr>
                    <w:r>
                      <w:rPr>
                        <w:rFonts w:ascii="Verdana"/>
                        <w:b/>
                        <w:color w:val="00C1D4"/>
                        <w:spacing w:val="-2"/>
                        <w:sz w:val="36"/>
                      </w:rPr>
                      <w:t>STANDARD OPERATING PROCEDURE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4D76"/>
    <w:multiLevelType w:val="hybridMultilevel"/>
    <w:tmpl w:val="8F90177C"/>
    <w:lvl w:ilvl="0" w:tplc="10090001">
      <w:start w:val="1"/>
      <w:numFmt w:val="bullet"/>
      <w:lvlText w:val=""/>
      <w:lvlJc w:val="left"/>
      <w:pPr>
        <w:ind w:left="839" w:hanging="360"/>
      </w:pPr>
      <w:rPr>
        <w:rFonts w:ascii="Symbol" w:hAnsi="Symbol" w:hint="default"/>
      </w:rPr>
    </w:lvl>
    <w:lvl w:ilvl="1" w:tplc="10090003" w:tentative="1">
      <w:start w:val="1"/>
      <w:numFmt w:val="bullet"/>
      <w:lvlText w:val="o"/>
      <w:lvlJc w:val="left"/>
      <w:pPr>
        <w:ind w:left="1559" w:hanging="360"/>
      </w:pPr>
      <w:rPr>
        <w:rFonts w:ascii="Courier New" w:hAnsi="Courier New" w:cs="Courier New" w:hint="default"/>
      </w:rPr>
    </w:lvl>
    <w:lvl w:ilvl="2" w:tplc="10090005" w:tentative="1">
      <w:start w:val="1"/>
      <w:numFmt w:val="bullet"/>
      <w:lvlText w:val=""/>
      <w:lvlJc w:val="left"/>
      <w:pPr>
        <w:ind w:left="2279" w:hanging="360"/>
      </w:pPr>
      <w:rPr>
        <w:rFonts w:ascii="Wingdings" w:hAnsi="Wingdings" w:hint="default"/>
      </w:rPr>
    </w:lvl>
    <w:lvl w:ilvl="3" w:tplc="10090001" w:tentative="1">
      <w:start w:val="1"/>
      <w:numFmt w:val="bullet"/>
      <w:lvlText w:val=""/>
      <w:lvlJc w:val="left"/>
      <w:pPr>
        <w:ind w:left="2999" w:hanging="360"/>
      </w:pPr>
      <w:rPr>
        <w:rFonts w:ascii="Symbol" w:hAnsi="Symbol" w:hint="default"/>
      </w:rPr>
    </w:lvl>
    <w:lvl w:ilvl="4" w:tplc="10090003" w:tentative="1">
      <w:start w:val="1"/>
      <w:numFmt w:val="bullet"/>
      <w:lvlText w:val="o"/>
      <w:lvlJc w:val="left"/>
      <w:pPr>
        <w:ind w:left="3719" w:hanging="360"/>
      </w:pPr>
      <w:rPr>
        <w:rFonts w:ascii="Courier New" w:hAnsi="Courier New" w:cs="Courier New" w:hint="default"/>
      </w:rPr>
    </w:lvl>
    <w:lvl w:ilvl="5" w:tplc="10090005" w:tentative="1">
      <w:start w:val="1"/>
      <w:numFmt w:val="bullet"/>
      <w:lvlText w:val=""/>
      <w:lvlJc w:val="left"/>
      <w:pPr>
        <w:ind w:left="4439" w:hanging="360"/>
      </w:pPr>
      <w:rPr>
        <w:rFonts w:ascii="Wingdings" w:hAnsi="Wingdings" w:hint="default"/>
      </w:rPr>
    </w:lvl>
    <w:lvl w:ilvl="6" w:tplc="10090001" w:tentative="1">
      <w:start w:val="1"/>
      <w:numFmt w:val="bullet"/>
      <w:lvlText w:val=""/>
      <w:lvlJc w:val="left"/>
      <w:pPr>
        <w:ind w:left="5159" w:hanging="360"/>
      </w:pPr>
      <w:rPr>
        <w:rFonts w:ascii="Symbol" w:hAnsi="Symbol" w:hint="default"/>
      </w:rPr>
    </w:lvl>
    <w:lvl w:ilvl="7" w:tplc="10090003" w:tentative="1">
      <w:start w:val="1"/>
      <w:numFmt w:val="bullet"/>
      <w:lvlText w:val="o"/>
      <w:lvlJc w:val="left"/>
      <w:pPr>
        <w:ind w:left="5879" w:hanging="360"/>
      </w:pPr>
      <w:rPr>
        <w:rFonts w:ascii="Courier New" w:hAnsi="Courier New" w:cs="Courier New" w:hint="default"/>
      </w:rPr>
    </w:lvl>
    <w:lvl w:ilvl="8" w:tplc="10090005" w:tentative="1">
      <w:start w:val="1"/>
      <w:numFmt w:val="bullet"/>
      <w:lvlText w:val=""/>
      <w:lvlJc w:val="left"/>
      <w:pPr>
        <w:ind w:left="6599" w:hanging="360"/>
      </w:pPr>
      <w:rPr>
        <w:rFonts w:ascii="Wingdings" w:hAnsi="Wingdings" w:hint="default"/>
      </w:rPr>
    </w:lvl>
  </w:abstractNum>
  <w:abstractNum w:abstractNumId="1" w15:restartNumberingAfterBreak="0">
    <w:nsid w:val="09437C74"/>
    <w:multiLevelType w:val="multilevel"/>
    <w:tmpl w:val="C060C822"/>
    <w:lvl w:ilvl="0">
      <w:start w:val="1"/>
      <w:numFmt w:val="decimal"/>
      <w:lvlText w:val="%1."/>
      <w:lvlJc w:val="left"/>
      <w:pPr>
        <w:ind w:left="503" w:hanging="361"/>
      </w:pPr>
      <w:rPr>
        <w:rFonts w:hint="default"/>
        <w:spacing w:val="0"/>
        <w:w w:val="100"/>
        <w:lang w:val="en-US" w:eastAsia="en-US" w:bidi="ar-SA"/>
      </w:rPr>
    </w:lvl>
    <w:lvl w:ilvl="1">
      <w:start w:val="1"/>
      <w:numFmt w:val="decimal"/>
      <w:lvlText w:val="%1.%2."/>
      <w:lvlJc w:val="left"/>
      <w:pPr>
        <w:ind w:left="969" w:hanging="425"/>
      </w:pPr>
      <w:rPr>
        <w:rFonts w:ascii="Montserrat" w:eastAsia="Montserrat" w:hAnsi="Montserrat" w:cs="Montserrat" w:hint="default"/>
        <w:b w:val="0"/>
        <w:bCs w:val="0"/>
        <w:i w:val="0"/>
        <w:iCs w:val="0"/>
        <w:spacing w:val="0"/>
        <w:w w:val="99"/>
        <w:sz w:val="20"/>
        <w:szCs w:val="20"/>
        <w:lang w:val="en-US" w:eastAsia="en-US" w:bidi="ar-SA"/>
      </w:rPr>
    </w:lvl>
    <w:lvl w:ilvl="2">
      <w:numFmt w:val="bullet"/>
      <w:lvlText w:val=""/>
      <w:lvlJc w:val="left"/>
      <w:pPr>
        <w:ind w:left="1550" w:hanging="360"/>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1558" w:hanging="360"/>
      </w:pPr>
      <w:rPr>
        <w:rFonts w:hint="default"/>
        <w:lang w:val="en-US" w:eastAsia="en-US" w:bidi="ar-SA"/>
      </w:rPr>
    </w:lvl>
    <w:lvl w:ilvl="4">
      <w:numFmt w:val="bullet"/>
      <w:lvlText w:val="•"/>
      <w:lvlJc w:val="left"/>
      <w:pPr>
        <w:ind w:left="2789" w:hanging="360"/>
      </w:pPr>
      <w:rPr>
        <w:rFonts w:hint="default"/>
        <w:lang w:val="en-US" w:eastAsia="en-US" w:bidi="ar-SA"/>
      </w:rPr>
    </w:lvl>
    <w:lvl w:ilvl="5">
      <w:numFmt w:val="bullet"/>
      <w:lvlText w:val="•"/>
      <w:lvlJc w:val="left"/>
      <w:pPr>
        <w:ind w:left="4020" w:hanging="360"/>
      </w:pPr>
      <w:rPr>
        <w:rFonts w:hint="default"/>
        <w:lang w:val="en-US" w:eastAsia="en-US" w:bidi="ar-SA"/>
      </w:rPr>
    </w:lvl>
    <w:lvl w:ilvl="6">
      <w:numFmt w:val="bullet"/>
      <w:lvlText w:val="•"/>
      <w:lvlJc w:val="left"/>
      <w:pPr>
        <w:ind w:left="5252" w:hanging="360"/>
      </w:pPr>
      <w:rPr>
        <w:rFonts w:hint="default"/>
        <w:lang w:val="en-US" w:eastAsia="en-US" w:bidi="ar-SA"/>
      </w:rPr>
    </w:lvl>
    <w:lvl w:ilvl="7">
      <w:numFmt w:val="bullet"/>
      <w:lvlText w:val="•"/>
      <w:lvlJc w:val="left"/>
      <w:pPr>
        <w:ind w:left="6483" w:hanging="360"/>
      </w:pPr>
      <w:rPr>
        <w:rFonts w:hint="default"/>
        <w:lang w:val="en-US" w:eastAsia="en-US" w:bidi="ar-SA"/>
      </w:rPr>
    </w:lvl>
    <w:lvl w:ilvl="8">
      <w:numFmt w:val="bullet"/>
      <w:lvlText w:val="•"/>
      <w:lvlJc w:val="left"/>
      <w:pPr>
        <w:ind w:left="7715" w:hanging="360"/>
      </w:pPr>
      <w:rPr>
        <w:rFonts w:hint="default"/>
        <w:lang w:val="en-US" w:eastAsia="en-US" w:bidi="ar-SA"/>
      </w:rPr>
    </w:lvl>
  </w:abstractNum>
  <w:abstractNum w:abstractNumId="2" w15:restartNumberingAfterBreak="0">
    <w:nsid w:val="0F7239A7"/>
    <w:multiLevelType w:val="hybridMultilevel"/>
    <w:tmpl w:val="DE88B8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3A673C89"/>
    <w:multiLevelType w:val="hybridMultilevel"/>
    <w:tmpl w:val="38AA2D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407C26C5"/>
    <w:multiLevelType w:val="multilevel"/>
    <w:tmpl w:val="C060C822"/>
    <w:lvl w:ilvl="0">
      <w:start w:val="1"/>
      <w:numFmt w:val="decimal"/>
      <w:lvlText w:val="%1."/>
      <w:lvlJc w:val="left"/>
      <w:pPr>
        <w:ind w:left="503" w:hanging="361"/>
      </w:pPr>
      <w:rPr>
        <w:rFonts w:hint="default"/>
        <w:spacing w:val="0"/>
        <w:w w:val="100"/>
        <w:lang w:val="en-US" w:eastAsia="en-US" w:bidi="ar-SA"/>
      </w:rPr>
    </w:lvl>
    <w:lvl w:ilvl="1">
      <w:start w:val="1"/>
      <w:numFmt w:val="decimal"/>
      <w:lvlText w:val="%1.%2."/>
      <w:lvlJc w:val="left"/>
      <w:pPr>
        <w:ind w:left="969" w:hanging="425"/>
      </w:pPr>
      <w:rPr>
        <w:rFonts w:ascii="Montserrat" w:eastAsia="Montserrat" w:hAnsi="Montserrat" w:cs="Montserrat" w:hint="default"/>
        <w:b w:val="0"/>
        <w:bCs w:val="0"/>
        <w:i w:val="0"/>
        <w:iCs w:val="0"/>
        <w:spacing w:val="0"/>
        <w:w w:val="99"/>
        <w:sz w:val="20"/>
        <w:szCs w:val="20"/>
        <w:lang w:val="en-US" w:eastAsia="en-US" w:bidi="ar-SA"/>
      </w:rPr>
    </w:lvl>
    <w:lvl w:ilvl="2">
      <w:numFmt w:val="bullet"/>
      <w:lvlText w:val=""/>
      <w:lvlJc w:val="left"/>
      <w:pPr>
        <w:ind w:left="1550" w:hanging="360"/>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1558" w:hanging="360"/>
      </w:pPr>
      <w:rPr>
        <w:rFonts w:hint="default"/>
        <w:lang w:val="en-US" w:eastAsia="en-US" w:bidi="ar-SA"/>
      </w:rPr>
    </w:lvl>
    <w:lvl w:ilvl="4">
      <w:numFmt w:val="bullet"/>
      <w:lvlText w:val="•"/>
      <w:lvlJc w:val="left"/>
      <w:pPr>
        <w:ind w:left="2789" w:hanging="360"/>
      </w:pPr>
      <w:rPr>
        <w:rFonts w:hint="default"/>
        <w:lang w:val="en-US" w:eastAsia="en-US" w:bidi="ar-SA"/>
      </w:rPr>
    </w:lvl>
    <w:lvl w:ilvl="5">
      <w:numFmt w:val="bullet"/>
      <w:lvlText w:val="•"/>
      <w:lvlJc w:val="left"/>
      <w:pPr>
        <w:ind w:left="4020" w:hanging="360"/>
      </w:pPr>
      <w:rPr>
        <w:rFonts w:hint="default"/>
        <w:lang w:val="en-US" w:eastAsia="en-US" w:bidi="ar-SA"/>
      </w:rPr>
    </w:lvl>
    <w:lvl w:ilvl="6">
      <w:numFmt w:val="bullet"/>
      <w:lvlText w:val="•"/>
      <w:lvlJc w:val="left"/>
      <w:pPr>
        <w:ind w:left="5252" w:hanging="360"/>
      </w:pPr>
      <w:rPr>
        <w:rFonts w:hint="default"/>
        <w:lang w:val="en-US" w:eastAsia="en-US" w:bidi="ar-SA"/>
      </w:rPr>
    </w:lvl>
    <w:lvl w:ilvl="7">
      <w:numFmt w:val="bullet"/>
      <w:lvlText w:val="•"/>
      <w:lvlJc w:val="left"/>
      <w:pPr>
        <w:ind w:left="6483" w:hanging="360"/>
      </w:pPr>
      <w:rPr>
        <w:rFonts w:hint="default"/>
        <w:lang w:val="en-US" w:eastAsia="en-US" w:bidi="ar-SA"/>
      </w:rPr>
    </w:lvl>
    <w:lvl w:ilvl="8">
      <w:numFmt w:val="bullet"/>
      <w:lvlText w:val="•"/>
      <w:lvlJc w:val="left"/>
      <w:pPr>
        <w:ind w:left="7715" w:hanging="360"/>
      </w:pPr>
      <w:rPr>
        <w:rFonts w:hint="default"/>
        <w:lang w:val="en-US" w:eastAsia="en-US" w:bidi="ar-SA"/>
      </w:rPr>
    </w:lvl>
  </w:abstractNum>
  <w:abstractNum w:abstractNumId="5" w15:restartNumberingAfterBreak="0">
    <w:nsid w:val="4E136CAE"/>
    <w:multiLevelType w:val="hybridMultilevel"/>
    <w:tmpl w:val="2DD814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6C22138B"/>
    <w:multiLevelType w:val="hybridMultilevel"/>
    <w:tmpl w:val="6DE2D996"/>
    <w:lvl w:ilvl="0" w:tplc="F280C43E">
      <w:start w:val="1"/>
      <w:numFmt w:val="bullet"/>
      <w:lvlText w:val=""/>
      <w:lvlJc w:val="left"/>
      <w:pPr>
        <w:ind w:left="1560" w:hanging="360"/>
      </w:pPr>
      <w:rPr>
        <w:rFonts w:ascii="Symbol" w:hAnsi="Symbol" w:hint="default"/>
        <w:color w:val="auto"/>
      </w:rPr>
    </w:lvl>
    <w:lvl w:ilvl="1" w:tplc="10090003">
      <w:start w:val="1"/>
      <w:numFmt w:val="bullet"/>
      <w:lvlText w:val="o"/>
      <w:lvlJc w:val="left"/>
      <w:pPr>
        <w:ind w:left="2280" w:hanging="360"/>
      </w:pPr>
      <w:rPr>
        <w:rFonts w:ascii="Courier New" w:hAnsi="Courier New" w:cs="Courier New" w:hint="default"/>
      </w:rPr>
    </w:lvl>
    <w:lvl w:ilvl="2" w:tplc="10090005" w:tentative="1">
      <w:start w:val="1"/>
      <w:numFmt w:val="bullet"/>
      <w:lvlText w:val=""/>
      <w:lvlJc w:val="left"/>
      <w:pPr>
        <w:ind w:left="3000" w:hanging="360"/>
      </w:pPr>
      <w:rPr>
        <w:rFonts w:ascii="Wingdings" w:hAnsi="Wingdings" w:hint="default"/>
      </w:rPr>
    </w:lvl>
    <w:lvl w:ilvl="3" w:tplc="10090001" w:tentative="1">
      <w:start w:val="1"/>
      <w:numFmt w:val="bullet"/>
      <w:lvlText w:val=""/>
      <w:lvlJc w:val="left"/>
      <w:pPr>
        <w:ind w:left="3720" w:hanging="360"/>
      </w:pPr>
      <w:rPr>
        <w:rFonts w:ascii="Symbol" w:hAnsi="Symbol" w:hint="default"/>
      </w:rPr>
    </w:lvl>
    <w:lvl w:ilvl="4" w:tplc="10090003" w:tentative="1">
      <w:start w:val="1"/>
      <w:numFmt w:val="bullet"/>
      <w:lvlText w:val="o"/>
      <w:lvlJc w:val="left"/>
      <w:pPr>
        <w:ind w:left="4440" w:hanging="360"/>
      </w:pPr>
      <w:rPr>
        <w:rFonts w:ascii="Courier New" w:hAnsi="Courier New" w:cs="Courier New" w:hint="default"/>
      </w:rPr>
    </w:lvl>
    <w:lvl w:ilvl="5" w:tplc="10090005" w:tentative="1">
      <w:start w:val="1"/>
      <w:numFmt w:val="bullet"/>
      <w:lvlText w:val=""/>
      <w:lvlJc w:val="left"/>
      <w:pPr>
        <w:ind w:left="5160" w:hanging="360"/>
      </w:pPr>
      <w:rPr>
        <w:rFonts w:ascii="Wingdings" w:hAnsi="Wingdings" w:hint="default"/>
      </w:rPr>
    </w:lvl>
    <w:lvl w:ilvl="6" w:tplc="10090001" w:tentative="1">
      <w:start w:val="1"/>
      <w:numFmt w:val="bullet"/>
      <w:lvlText w:val=""/>
      <w:lvlJc w:val="left"/>
      <w:pPr>
        <w:ind w:left="5880" w:hanging="360"/>
      </w:pPr>
      <w:rPr>
        <w:rFonts w:ascii="Symbol" w:hAnsi="Symbol" w:hint="default"/>
      </w:rPr>
    </w:lvl>
    <w:lvl w:ilvl="7" w:tplc="10090003" w:tentative="1">
      <w:start w:val="1"/>
      <w:numFmt w:val="bullet"/>
      <w:lvlText w:val="o"/>
      <w:lvlJc w:val="left"/>
      <w:pPr>
        <w:ind w:left="6600" w:hanging="360"/>
      </w:pPr>
      <w:rPr>
        <w:rFonts w:ascii="Courier New" w:hAnsi="Courier New" w:cs="Courier New" w:hint="default"/>
      </w:rPr>
    </w:lvl>
    <w:lvl w:ilvl="8" w:tplc="10090005" w:tentative="1">
      <w:start w:val="1"/>
      <w:numFmt w:val="bullet"/>
      <w:lvlText w:val=""/>
      <w:lvlJc w:val="left"/>
      <w:pPr>
        <w:ind w:left="7320" w:hanging="360"/>
      </w:pPr>
      <w:rPr>
        <w:rFonts w:ascii="Wingdings" w:hAnsi="Wingdings" w:hint="default"/>
      </w:rPr>
    </w:lvl>
  </w:abstractNum>
  <w:num w:numId="1" w16cid:durableId="443575372">
    <w:abstractNumId w:val="4"/>
  </w:num>
  <w:num w:numId="2" w16cid:durableId="2014602580">
    <w:abstractNumId w:val="0"/>
  </w:num>
  <w:num w:numId="3" w16cid:durableId="320502477">
    <w:abstractNumId w:val="6"/>
  </w:num>
  <w:num w:numId="4" w16cid:durableId="1397973789">
    <w:abstractNumId w:val="1"/>
  </w:num>
  <w:num w:numId="5" w16cid:durableId="1759642457">
    <w:abstractNumId w:val="2"/>
  </w:num>
  <w:num w:numId="6" w16cid:durableId="407271176">
    <w:abstractNumId w:val="5"/>
  </w:num>
  <w:num w:numId="7" w16cid:durableId="2127388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94"/>
    <w:rsid w:val="00034763"/>
    <w:rsid w:val="00045D17"/>
    <w:rsid w:val="00065E21"/>
    <w:rsid w:val="000A4283"/>
    <w:rsid w:val="000D43F1"/>
    <w:rsid w:val="000E361D"/>
    <w:rsid w:val="001334E0"/>
    <w:rsid w:val="001A2F87"/>
    <w:rsid w:val="001B1D63"/>
    <w:rsid w:val="001E2979"/>
    <w:rsid w:val="00260D9A"/>
    <w:rsid w:val="00297AB0"/>
    <w:rsid w:val="003659BF"/>
    <w:rsid w:val="003D44E2"/>
    <w:rsid w:val="003E08E0"/>
    <w:rsid w:val="004131B4"/>
    <w:rsid w:val="004529CC"/>
    <w:rsid w:val="00534E2C"/>
    <w:rsid w:val="0058337C"/>
    <w:rsid w:val="005876FC"/>
    <w:rsid w:val="005A211E"/>
    <w:rsid w:val="005C2EC6"/>
    <w:rsid w:val="005C7FFD"/>
    <w:rsid w:val="005E29A0"/>
    <w:rsid w:val="005E4767"/>
    <w:rsid w:val="00694967"/>
    <w:rsid w:val="006A0525"/>
    <w:rsid w:val="006A3BBA"/>
    <w:rsid w:val="00736418"/>
    <w:rsid w:val="007605CF"/>
    <w:rsid w:val="0077378F"/>
    <w:rsid w:val="007A0563"/>
    <w:rsid w:val="007B7916"/>
    <w:rsid w:val="007C6E3E"/>
    <w:rsid w:val="007D0B1E"/>
    <w:rsid w:val="007F1B6E"/>
    <w:rsid w:val="00803DF8"/>
    <w:rsid w:val="00836F7A"/>
    <w:rsid w:val="0086340C"/>
    <w:rsid w:val="008C2B81"/>
    <w:rsid w:val="008C7F23"/>
    <w:rsid w:val="008D1EBB"/>
    <w:rsid w:val="009625DD"/>
    <w:rsid w:val="00974E31"/>
    <w:rsid w:val="00985F08"/>
    <w:rsid w:val="009875DB"/>
    <w:rsid w:val="009B0D3F"/>
    <w:rsid w:val="009C676E"/>
    <w:rsid w:val="009E1794"/>
    <w:rsid w:val="009E318C"/>
    <w:rsid w:val="00A16F2D"/>
    <w:rsid w:val="00A47C0A"/>
    <w:rsid w:val="00A658D6"/>
    <w:rsid w:val="00AC2958"/>
    <w:rsid w:val="00AF6CAD"/>
    <w:rsid w:val="00B0562B"/>
    <w:rsid w:val="00B35BBB"/>
    <w:rsid w:val="00B43342"/>
    <w:rsid w:val="00BA4D49"/>
    <w:rsid w:val="00C07450"/>
    <w:rsid w:val="00C514C1"/>
    <w:rsid w:val="00CE5F46"/>
    <w:rsid w:val="00CE6858"/>
    <w:rsid w:val="00D606ED"/>
    <w:rsid w:val="00D62F35"/>
    <w:rsid w:val="00D64EBF"/>
    <w:rsid w:val="00D70C41"/>
    <w:rsid w:val="00D92CE8"/>
    <w:rsid w:val="00DE25AE"/>
    <w:rsid w:val="00E777EC"/>
    <w:rsid w:val="00E9330A"/>
    <w:rsid w:val="00EF4470"/>
    <w:rsid w:val="00F46CFB"/>
    <w:rsid w:val="00F65CF5"/>
    <w:rsid w:val="00F73E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571A80A"/>
  <w15:docId w15:val="{E67BEBAF-BA52-4C2F-9B40-69D73E88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ontserrat" w:eastAsia="Montserrat" w:hAnsi="Montserrat" w:cs="Montserrat"/>
    </w:rPr>
  </w:style>
  <w:style w:type="paragraph" w:styleId="Heading1">
    <w:name w:val="heading 1"/>
    <w:basedOn w:val="Normal"/>
    <w:link w:val="Heading1Char"/>
    <w:uiPriority w:val="9"/>
    <w:qFormat/>
    <w:pPr>
      <w:spacing w:before="65"/>
      <w:ind w:left="120"/>
      <w:outlineLvl w:val="0"/>
    </w:pPr>
    <w:rPr>
      <w:sz w:val="40"/>
      <w:szCs w:val="40"/>
    </w:rPr>
  </w:style>
  <w:style w:type="paragraph" w:styleId="Heading2">
    <w:name w:val="heading 2"/>
    <w:basedOn w:val="Normal"/>
    <w:uiPriority w:val="9"/>
    <w:unhideWhenUsed/>
    <w:qFormat/>
    <w:pPr>
      <w:spacing w:before="116"/>
      <w:ind w:left="479" w:hanging="359"/>
      <w:outlineLvl w:val="1"/>
    </w:pPr>
    <w:rPr>
      <w:b/>
      <w:bCs/>
      <w:sz w:val="28"/>
      <w:szCs w:val="28"/>
    </w:rPr>
  </w:style>
  <w:style w:type="paragraph" w:styleId="Heading3">
    <w:name w:val="heading 3"/>
    <w:basedOn w:val="Normal"/>
    <w:next w:val="Normal"/>
    <w:link w:val="Heading3Char"/>
    <w:uiPriority w:val="9"/>
    <w:unhideWhenUsed/>
    <w:qFormat/>
    <w:rsid w:val="00836F7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2683" w:firstLine="2712"/>
    </w:pPr>
    <w:rPr>
      <w:rFonts w:ascii="Verdana" w:eastAsia="Verdana" w:hAnsi="Verdana" w:cs="Verdana"/>
      <w:sz w:val="64"/>
      <w:szCs w:val="64"/>
    </w:rPr>
  </w:style>
  <w:style w:type="paragraph" w:styleId="ListParagraph">
    <w:name w:val="List Paragraph"/>
    <w:basedOn w:val="Normal"/>
    <w:uiPriority w:val="34"/>
    <w:qFormat/>
    <w:pPr>
      <w:spacing w:before="89"/>
      <w:ind w:left="1109"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4529CC"/>
    <w:pPr>
      <w:tabs>
        <w:tab w:val="center" w:pos="4680"/>
        <w:tab w:val="right" w:pos="9360"/>
      </w:tabs>
    </w:pPr>
  </w:style>
  <w:style w:type="character" w:customStyle="1" w:styleId="HeaderChar">
    <w:name w:val="Header Char"/>
    <w:basedOn w:val="DefaultParagraphFont"/>
    <w:link w:val="Header"/>
    <w:uiPriority w:val="99"/>
    <w:rsid w:val="004529CC"/>
    <w:rPr>
      <w:rFonts w:ascii="Montserrat" w:eastAsia="Montserrat" w:hAnsi="Montserrat" w:cs="Montserrat"/>
    </w:rPr>
  </w:style>
  <w:style w:type="paragraph" w:styleId="Footer">
    <w:name w:val="footer"/>
    <w:basedOn w:val="Normal"/>
    <w:link w:val="FooterChar"/>
    <w:uiPriority w:val="99"/>
    <w:unhideWhenUsed/>
    <w:rsid w:val="004529CC"/>
    <w:pPr>
      <w:tabs>
        <w:tab w:val="center" w:pos="4680"/>
        <w:tab w:val="right" w:pos="9360"/>
      </w:tabs>
    </w:pPr>
  </w:style>
  <w:style w:type="character" w:customStyle="1" w:styleId="FooterChar">
    <w:name w:val="Footer Char"/>
    <w:basedOn w:val="DefaultParagraphFont"/>
    <w:link w:val="Footer"/>
    <w:uiPriority w:val="99"/>
    <w:rsid w:val="004529CC"/>
    <w:rPr>
      <w:rFonts w:ascii="Montserrat" w:eastAsia="Montserrat" w:hAnsi="Montserrat" w:cs="Montserrat"/>
    </w:rPr>
  </w:style>
  <w:style w:type="character" w:styleId="Hyperlink">
    <w:name w:val="Hyperlink"/>
    <w:basedOn w:val="DefaultParagraphFont"/>
    <w:uiPriority w:val="99"/>
    <w:unhideWhenUsed/>
    <w:rsid w:val="007F1B6E"/>
    <w:rPr>
      <w:color w:val="0000FF"/>
      <w:u w:val="single"/>
    </w:rPr>
  </w:style>
  <w:style w:type="table" w:styleId="TableGrid">
    <w:name w:val="Table Grid"/>
    <w:basedOn w:val="TableNormal"/>
    <w:uiPriority w:val="59"/>
    <w:rsid w:val="007F1B6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39"/>
    <w:rsid w:val="00AC2958"/>
    <w:pPr>
      <w:widowControl/>
      <w:autoSpaceDE/>
      <w:autoSpaceDN/>
    </w:pPr>
    <w:rPr>
      <w:kern w:val="2"/>
      <w:lang w:val="en-C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70C41"/>
    <w:pPr>
      <w:widowControl/>
      <w:overflowPunct w:val="0"/>
      <w:adjustRightInd w:val="0"/>
      <w:textAlignment w:val="baseline"/>
    </w:pPr>
    <w:rPr>
      <w:rFonts w:ascii="Verdana" w:eastAsia="Times New Roman" w:hAnsi="Verdana" w:cs="Times New Roman"/>
      <w:sz w:val="20"/>
      <w:szCs w:val="20"/>
    </w:rPr>
  </w:style>
  <w:style w:type="character" w:styleId="UnresolvedMention">
    <w:name w:val="Unresolved Mention"/>
    <w:basedOn w:val="DefaultParagraphFont"/>
    <w:uiPriority w:val="99"/>
    <w:semiHidden/>
    <w:unhideWhenUsed/>
    <w:rsid w:val="00836F7A"/>
    <w:rPr>
      <w:color w:val="605E5C"/>
      <w:shd w:val="clear" w:color="auto" w:fill="E1DFDD"/>
    </w:rPr>
  </w:style>
  <w:style w:type="character" w:customStyle="1" w:styleId="Heading3Char">
    <w:name w:val="Heading 3 Char"/>
    <w:basedOn w:val="DefaultParagraphFont"/>
    <w:link w:val="Heading3"/>
    <w:uiPriority w:val="9"/>
    <w:rsid w:val="00836F7A"/>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A16F2D"/>
    <w:rPr>
      <w:color w:val="800080" w:themeColor="followedHyperlink"/>
      <w:u w:val="single"/>
    </w:rPr>
  </w:style>
  <w:style w:type="character" w:customStyle="1" w:styleId="Heading1Char">
    <w:name w:val="Heading 1 Char"/>
    <w:basedOn w:val="DefaultParagraphFont"/>
    <w:link w:val="Heading1"/>
    <w:uiPriority w:val="9"/>
    <w:rsid w:val="00045D17"/>
    <w:rPr>
      <w:rFonts w:ascii="Montserrat" w:eastAsia="Montserrat" w:hAnsi="Montserrat" w:cs="Montserrat"/>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healthbc.sharepoint.com/sites/OcchealthPortalIH/Shared%20Documents/Forms/AllItems.aspx?id=%2Fsites%2FOcchealthPortalIH%2FShared%20Documents%2FWHS%20Checklist%20for%20Measles%20Outdoor%20Testing%2Epdf&amp;parent=%2Fsites%2FOcchealthPortalIH%2FShared%20Documents" TargetMode="External"/><Relationship Id="rId18" Type="http://schemas.openxmlformats.org/officeDocument/2006/relationships/hyperlink" Target="https://www.interiorhealth.ca/sites/default/files/PDFS/dc-ipac-measles-lab-requirements-checklist-for-community-collections.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www.interiorhealth.ca/sites/default/files/PDFS/dc-specimen-collection-community-locations-ipac-guidance.pdf" TargetMode="External"/><Relationship Id="rId17" Type="http://schemas.openxmlformats.org/officeDocument/2006/relationships/hyperlink" Target="https://healthbc.sharepoint.com/sites/OcchealthPortalIH/Shared%20Documents/Forms/AllItems.aspx?id=%2Fsites%2FOcchealthPortalIH%2FShared%20Documents%2FWHS%20Checklist%20for%20Measles%20Outdoor%20Testing%2Epdf&amp;parent=%2Fsites%2FOcchealthPortalIH%2FShared%20Documents" TargetMode="External"/><Relationship Id="rId2" Type="http://schemas.openxmlformats.org/officeDocument/2006/relationships/styles" Target="styles.xml"/><Relationship Id="rId16" Type="http://schemas.openxmlformats.org/officeDocument/2006/relationships/hyperlink" Target="https://www.interiorhealth.ca/sites/default/files/PDFS/dc-specimen-collection-community-locations-ipac-guidance.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teriorhealth.ca/sites/default/files/PDFS/dc-ipac-measles-lab-requirements-checklist-for-community-collections.pdf" TargetMode="External"/><Relationship Id="rId5" Type="http://schemas.openxmlformats.org/officeDocument/2006/relationships/footnotes" Target="footnotes.xml"/><Relationship Id="rId15" Type="http://schemas.openxmlformats.org/officeDocument/2006/relationships/hyperlink" Target="https://www.interiorhealth.ca/sites/default/files/PDFS/dc-ipac-measles-lab-requirements-checklist-for-community-collections.pdf" TargetMode="External"/><Relationship Id="rId10" Type="http://schemas.openxmlformats.org/officeDocument/2006/relationships/hyperlink" Target="https://www.interiorhealth.ca/sites/default/files/PDFS/dc-specimen-collection-considerations-for-locations.pdf" TargetMode="External"/><Relationship Id="rId19" Type="http://schemas.openxmlformats.org/officeDocument/2006/relationships/hyperlink" Target="https://www.interiorhealth.ca/sites/default/files/PDFS/dc-ipac-measles-lab-requirements-checklist-for-community-collections.pdf" TargetMode="External"/><Relationship Id="rId4" Type="http://schemas.openxmlformats.org/officeDocument/2006/relationships/webSettings" Target="webSettings.xml"/><Relationship Id="rId9" Type="http://schemas.openxmlformats.org/officeDocument/2006/relationships/hyperlink" Target="https://www.interiorhealth.ca/sites/default/files/PDFS/dc-approach-for-mho-directed-community-specimen-collection.pdf" TargetMode="External"/><Relationship Id="rId14" Type="http://schemas.openxmlformats.org/officeDocument/2006/relationships/hyperlink" Target="https://www.interiorhealth.ca/sites/default/files/PDFS/dc-specimen-collection-community-locations-ipac-guidance.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1329</Words>
  <Characters>7576</Characters>
  <Application>Microsoft Office Word</Application>
  <DocSecurity>2</DocSecurity>
  <Lines>63</Lines>
  <Paragraphs>17</Paragraphs>
  <ScaleCrop>false</ScaleCrop>
  <HeadingPairs>
    <vt:vector size="2" baseType="variant">
      <vt:variant>
        <vt:lpstr>Title</vt:lpstr>
      </vt:variant>
      <vt:variant>
        <vt:i4>1</vt:i4>
      </vt:variant>
    </vt:vector>
  </HeadingPairs>
  <TitlesOfParts>
    <vt:vector size="1" baseType="lpstr">
      <vt:lpstr>Area-MHO-directed-Measles Specimen Collection</vt:lpstr>
    </vt:vector>
  </TitlesOfParts>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Area-MHO-directed-Measles Specimen Collection</dc:title>
  <dc:subject>Suspect/Confirmed Measles</dc:subject>
  <dc:creator>Amanda Fisher</dc:creator>
  <cp:keywords>Measles;Lab;Requirements;Checklist;NPswab;Specimen;Refrigerated;Temperature;BCCDC;Virology;Requisition;Packaging;Transport;TDGcertificate;IHLaboratory</cp:keywords>
  <cp:lastModifiedBy>Calder, Candace [IH]</cp:lastModifiedBy>
  <cp:revision>18</cp:revision>
  <dcterms:created xsi:type="dcterms:W3CDTF">2025-08-06T23:54:00Z</dcterms:created>
  <dcterms:modified xsi:type="dcterms:W3CDTF">2025-08-08T16:32:00Z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2024-05-30T00:00:00Z</vt:filetime>
  </property>
  <property fmtid="{D5CDD505-2E9C-101B-9397-08002B2CF9AE}" pid="3" name="Creator">
    <vt:lpwstr>Microsoft® Word 2016</vt:lpwstr>
  </property>
  <property fmtid="{D5CDD505-2E9C-101B-9397-08002B2CF9AE}" pid="4" name="LastSaved">
    <vt:filetime>2025-06-19T00:00:00Z</vt:filetime>
  </property>
  <property fmtid="{D5CDD505-2E9C-101B-9397-08002B2CF9AE}" pid="5" name="Producer">
    <vt:lpwstr>Microsoft® Word 2016</vt:lpwstr>
  </property>
</Properties>
</file>